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513" w:rsidRPr="00081513" w:rsidRDefault="00081513" w:rsidP="00081513">
      <w:pPr>
        <w:pStyle w:val="Ttulo2"/>
        <w:spacing w:before="0" w:beforeAutospacing="0" w:after="0" w:afterAutospacing="0"/>
        <w:jc w:val="center"/>
        <w:rPr>
          <w:rFonts w:ascii="Arial" w:hAnsi="Arial" w:cs="Arial"/>
          <w:color w:val="000000" w:themeColor="text1"/>
          <w:sz w:val="24"/>
          <w:szCs w:val="24"/>
        </w:rPr>
      </w:pPr>
      <w:bookmarkStart w:id="0" w:name="_GoBack"/>
      <w:r w:rsidRPr="00081513">
        <w:rPr>
          <w:rFonts w:ascii="Arial" w:hAnsi="Arial" w:cs="Arial"/>
          <w:color w:val="000000" w:themeColor="text1"/>
          <w:sz w:val="32"/>
          <w:szCs w:val="32"/>
          <w:lang w:val="es-ES"/>
        </w:rPr>
        <w:br/>
        <w:t>CONSEJO DE ESTADO</w:t>
      </w:r>
    </w:p>
    <w:p w:rsidR="00081513" w:rsidRPr="00081513" w:rsidRDefault="00081513" w:rsidP="00081513">
      <w:pPr>
        <w:rPr>
          <w:rFonts w:ascii="Calibri" w:hAnsi="Calibri" w:cs="Times New Roman"/>
          <w:color w:val="000000" w:themeColor="text1"/>
        </w:rPr>
      </w:pPr>
      <w:r w:rsidRPr="00081513">
        <w:rPr>
          <w:rFonts w:ascii="Calibri" w:hAnsi="Calibri"/>
          <w:color w:val="000000" w:themeColor="text1"/>
          <w:lang w:val="es-ES"/>
        </w:rPr>
        <w:t> </w:t>
      </w:r>
    </w:p>
    <w:p w:rsidR="00081513" w:rsidRPr="00081513" w:rsidRDefault="00081513" w:rsidP="00081513">
      <w:pPr>
        <w:pStyle w:val="Ttulo2"/>
        <w:spacing w:before="0" w:beforeAutospacing="0" w:after="0" w:afterAutospacing="0"/>
        <w:jc w:val="center"/>
        <w:rPr>
          <w:rFonts w:ascii="Arial" w:hAnsi="Arial" w:cs="Arial"/>
          <w:color w:val="000000" w:themeColor="text1"/>
          <w:sz w:val="24"/>
          <w:szCs w:val="24"/>
        </w:rPr>
      </w:pPr>
      <w:r w:rsidRPr="00081513">
        <w:rPr>
          <w:rFonts w:ascii="Arial" w:hAnsi="Arial" w:cs="Arial"/>
          <w:color w:val="000000" w:themeColor="text1"/>
          <w:sz w:val="32"/>
          <w:szCs w:val="32"/>
          <w:lang w:val="es-ES"/>
        </w:rPr>
        <w:t>SALA DE LO CONTENCIOSO ADMINISTRATIVO</w:t>
      </w:r>
    </w:p>
    <w:p w:rsidR="00081513" w:rsidRPr="00081513" w:rsidRDefault="00081513" w:rsidP="00081513">
      <w:pPr>
        <w:rPr>
          <w:rFonts w:ascii="Calibri" w:hAnsi="Calibri" w:cs="Times New Roman"/>
          <w:color w:val="000000" w:themeColor="text1"/>
        </w:rPr>
      </w:pPr>
      <w:r w:rsidRPr="00081513">
        <w:rPr>
          <w:rFonts w:ascii="Calibri" w:hAnsi="Calibri"/>
          <w:color w:val="000000" w:themeColor="text1"/>
          <w:lang w:val="es-ES"/>
        </w:rPr>
        <w:t> </w:t>
      </w:r>
    </w:p>
    <w:p w:rsidR="00081513" w:rsidRPr="00081513" w:rsidRDefault="00081513" w:rsidP="00081513">
      <w:pPr>
        <w:pStyle w:val="Ttulo2"/>
        <w:spacing w:before="0" w:beforeAutospacing="0" w:after="0" w:afterAutospacing="0"/>
        <w:jc w:val="center"/>
        <w:rPr>
          <w:rFonts w:ascii="Arial" w:hAnsi="Arial" w:cs="Arial"/>
          <w:color w:val="000000" w:themeColor="text1"/>
          <w:sz w:val="24"/>
          <w:szCs w:val="24"/>
        </w:rPr>
      </w:pPr>
      <w:r w:rsidRPr="00081513">
        <w:rPr>
          <w:rFonts w:ascii="Arial" w:hAnsi="Arial" w:cs="Arial"/>
          <w:color w:val="000000" w:themeColor="text1"/>
          <w:sz w:val="32"/>
          <w:szCs w:val="32"/>
          <w:lang w:val="es-ES"/>
        </w:rPr>
        <w:t>SECCIÓN CUARTA</w:t>
      </w:r>
    </w:p>
    <w:p w:rsidR="00081513" w:rsidRPr="00081513" w:rsidRDefault="00081513" w:rsidP="00081513">
      <w:pPr>
        <w:rPr>
          <w:rFonts w:ascii="Calibri" w:hAnsi="Calibri" w:cs="Times New Roman"/>
          <w:color w:val="000000" w:themeColor="text1"/>
        </w:rPr>
      </w:pPr>
      <w:r w:rsidRPr="00081513">
        <w:rPr>
          <w:rFonts w:ascii="Calibri" w:hAnsi="Calibri"/>
          <w:color w:val="000000" w:themeColor="text1"/>
          <w:lang w:val="es-ES"/>
        </w:rPr>
        <w:t> </w:t>
      </w:r>
    </w:p>
    <w:p w:rsidR="00081513" w:rsidRPr="00081513" w:rsidRDefault="00081513" w:rsidP="00081513">
      <w:pPr>
        <w:rPr>
          <w:rFonts w:ascii="Calibri" w:hAnsi="Calibri"/>
          <w:color w:val="000000" w:themeColor="text1"/>
        </w:rPr>
      </w:pPr>
      <w:r w:rsidRPr="00081513">
        <w:rPr>
          <w:rFonts w:ascii="Calibri" w:hAnsi="Calibri"/>
          <w:color w:val="000000" w:themeColor="text1"/>
          <w:lang w:val="es-ES"/>
        </w:rPr>
        <w:t> </w:t>
      </w:r>
    </w:p>
    <w:p w:rsidR="00081513" w:rsidRPr="00081513" w:rsidRDefault="00081513" w:rsidP="00081513">
      <w:pPr>
        <w:jc w:val="both"/>
        <w:rPr>
          <w:rFonts w:ascii="Calibri" w:hAnsi="Calibri"/>
          <w:color w:val="000000" w:themeColor="text1"/>
        </w:rPr>
      </w:pPr>
      <w:r w:rsidRPr="00081513">
        <w:rPr>
          <w:rFonts w:ascii="Arial" w:hAnsi="Arial" w:cs="Arial"/>
          <w:b/>
          <w:bCs/>
          <w:color w:val="000000" w:themeColor="text1"/>
        </w:rPr>
        <w:t> </w:t>
      </w:r>
    </w:p>
    <w:p w:rsidR="00081513" w:rsidRPr="00081513" w:rsidRDefault="00081513" w:rsidP="00081513">
      <w:pPr>
        <w:jc w:val="both"/>
        <w:rPr>
          <w:rFonts w:ascii="Calibri" w:hAnsi="Calibri"/>
          <w:color w:val="000000" w:themeColor="text1"/>
        </w:rPr>
      </w:pPr>
      <w:r w:rsidRPr="00081513">
        <w:rPr>
          <w:rFonts w:ascii="Arial" w:hAnsi="Arial" w:cs="Arial"/>
          <w:b/>
          <w:bCs/>
          <w:color w:val="000000" w:themeColor="text1"/>
        </w:rPr>
        <w:t> </w:t>
      </w:r>
    </w:p>
    <w:p w:rsidR="00081513" w:rsidRPr="00081513" w:rsidRDefault="00081513" w:rsidP="00081513">
      <w:pPr>
        <w:pStyle w:val="Ttulo7"/>
        <w:spacing w:before="0"/>
        <w:jc w:val="both"/>
        <w:rPr>
          <w:rFonts w:ascii="Calibri" w:hAnsi="Calibri"/>
          <w:color w:val="000000" w:themeColor="text1"/>
          <w:sz w:val="24"/>
          <w:szCs w:val="24"/>
        </w:rPr>
      </w:pPr>
      <w:r w:rsidRPr="00081513">
        <w:rPr>
          <w:rFonts w:ascii="Arial" w:hAnsi="Arial" w:cs="Arial"/>
          <w:b/>
          <w:bCs/>
          <w:color w:val="000000" w:themeColor="text1"/>
          <w:lang w:val="es-ES"/>
        </w:rPr>
        <w:t>Bogotá, D.C., veintiséis (26) de julio de dos mil dieciséis (2016)</w:t>
      </w:r>
    </w:p>
    <w:p w:rsidR="00081513" w:rsidRPr="00081513" w:rsidRDefault="00081513" w:rsidP="00081513">
      <w:pPr>
        <w:pStyle w:val="presentacin"/>
        <w:spacing w:before="0" w:beforeAutospacing="0" w:after="0" w:afterAutospacing="0"/>
        <w:jc w:val="both"/>
        <w:rPr>
          <w:rFonts w:ascii="Arial" w:hAnsi="Arial" w:cs="Arial"/>
          <w:i/>
          <w:iCs/>
          <w:color w:val="000000" w:themeColor="text1"/>
          <w:sz w:val="26"/>
          <w:szCs w:val="26"/>
        </w:rPr>
      </w:pPr>
      <w:r w:rsidRPr="00081513">
        <w:rPr>
          <w:rFonts w:ascii="Arial" w:hAnsi="Arial" w:cs="Arial"/>
          <w:b/>
          <w:bCs/>
          <w:color w:val="000000" w:themeColor="text1"/>
        </w:rPr>
        <w:t>Radicación:</w:t>
      </w:r>
      <w:r w:rsidRPr="00081513">
        <w:rPr>
          <w:rStyle w:val="apple-converted-space"/>
          <w:rFonts w:ascii="Arial" w:hAnsi="Arial" w:cs="Arial"/>
          <w:b/>
          <w:bCs/>
          <w:color w:val="000000" w:themeColor="text1"/>
        </w:rPr>
        <w:t> </w:t>
      </w:r>
      <w:r w:rsidRPr="00081513">
        <w:rPr>
          <w:rFonts w:ascii="Arial" w:hAnsi="Arial" w:cs="Arial"/>
          <w:b/>
          <w:bCs/>
          <w:color w:val="000000" w:themeColor="text1"/>
        </w:rPr>
        <w:t>05001 23 31 000 2002 04451 01</w:t>
      </w:r>
    </w:p>
    <w:p w:rsidR="00081513" w:rsidRPr="00081513" w:rsidRDefault="00081513" w:rsidP="00081513">
      <w:pPr>
        <w:pStyle w:val="presentacin"/>
        <w:spacing w:before="0" w:beforeAutospacing="0" w:after="0" w:afterAutospacing="0"/>
        <w:jc w:val="both"/>
        <w:rPr>
          <w:rFonts w:ascii="Arial" w:hAnsi="Arial" w:cs="Arial"/>
          <w:i/>
          <w:iCs/>
          <w:color w:val="000000" w:themeColor="text1"/>
          <w:sz w:val="26"/>
          <w:szCs w:val="26"/>
        </w:rPr>
      </w:pPr>
      <w:r w:rsidRPr="00081513">
        <w:rPr>
          <w:rFonts w:ascii="Arial" w:hAnsi="Arial" w:cs="Arial"/>
          <w:b/>
          <w:bCs/>
          <w:color w:val="000000" w:themeColor="text1"/>
        </w:rPr>
        <w:t>Número interno: 21252</w:t>
      </w:r>
    </w:p>
    <w:p w:rsidR="00081513" w:rsidRPr="00081513" w:rsidRDefault="00081513" w:rsidP="00081513">
      <w:pPr>
        <w:pStyle w:val="presentacin"/>
        <w:spacing w:before="0" w:beforeAutospacing="0" w:after="0" w:afterAutospacing="0"/>
        <w:jc w:val="both"/>
        <w:rPr>
          <w:rFonts w:ascii="Arial" w:hAnsi="Arial" w:cs="Arial"/>
          <w:i/>
          <w:iCs/>
          <w:color w:val="000000" w:themeColor="text1"/>
          <w:sz w:val="26"/>
          <w:szCs w:val="26"/>
        </w:rPr>
      </w:pPr>
      <w:r w:rsidRPr="00081513">
        <w:rPr>
          <w:rFonts w:ascii="Arial" w:hAnsi="Arial" w:cs="Arial"/>
          <w:b/>
          <w:bCs/>
          <w:color w:val="000000" w:themeColor="text1"/>
        </w:rPr>
        <w:t>Asunto: Acción de Nulidad y Restablecimiento del Derecho</w:t>
      </w:r>
    </w:p>
    <w:p w:rsidR="00081513" w:rsidRPr="00081513" w:rsidRDefault="00081513" w:rsidP="00081513">
      <w:pPr>
        <w:pStyle w:val="presentacin"/>
        <w:spacing w:before="0" w:beforeAutospacing="0" w:after="0" w:afterAutospacing="0"/>
        <w:jc w:val="both"/>
        <w:rPr>
          <w:rFonts w:ascii="Arial" w:hAnsi="Arial" w:cs="Arial"/>
          <w:i/>
          <w:iCs/>
          <w:color w:val="000000" w:themeColor="text1"/>
          <w:sz w:val="26"/>
          <w:szCs w:val="26"/>
        </w:rPr>
      </w:pPr>
      <w:r w:rsidRPr="00081513">
        <w:rPr>
          <w:rFonts w:ascii="Arial" w:hAnsi="Arial" w:cs="Arial"/>
          <w:b/>
          <w:bCs/>
          <w:color w:val="000000" w:themeColor="text1"/>
        </w:rPr>
        <w:t>Demandante: Manuel Enrique Álvarez Acevedo</w:t>
      </w:r>
    </w:p>
    <w:p w:rsidR="00081513" w:rsidRPr="00081513" w:rsidRDefault="00081513" w:rsidP="00081513">
      <w:pPr>
        <w:pStyle w:val="presentacin"/>
        <w:spacing w:before="0" w:beforeAutospacing="0" w:after="0" w:afterAutospacing="0"/>
        <w:jc w:val="both"/>
        <w:rPr>
          <w:rFonts w:ascii="Arial" w:hAnsi="Arial" w:cs="Arial"/>
          <w:i/>
          <w:iCs/>
          <w:color w:val="000000" w:themeColor="text1"/>
          <w:sz w:val="26"/>
          <w:szCs w:val="26"/>
        </w:rPr>
      </w:pPr>
      <w:r w:rsidRPr="00081513">
        <w:rPr>
          <w:rFonts w:ascii="Arial" w:hAnsi="Arial" w:cs="Arial"/>
          <w:b/>
          <w:bCs/>
          <w:color w:val="000000" w:themeColor="text1"/>
        </w:rPr>
        <w:t>Demandado: DIAN</w:t>
      </w:r>
    </w:p>
    <w:p w:rsidR="00081513" w:rsidRPr="00081513" w:rsidRDefault="00081513" w:rsidP="00081513">
      <w:pPr>
        <w:pStyle w:val="Ttulo2"/>
        <w:spacing w:before="0" w:beforeAutospacing="0" w:after="0" w:afterAutospacing="0"/>
        <w:jc w:val="both"/>
        <w:rPr>
          <w:rFonts w:ascii="Arial" w:hAnsi="Arial" w:cs="Arial"/>
          <w:color w:val="000000" w:themeColor="text1"/>
          <w:sz w:val="24"/>
          <w:szCs w:val="24"/>
        </w:rPr>
      </w:pPr>
      <w:r w:rsidRPr="00081513">
        <w:rPr>
          <w:rFonts w:ascii="Arial" w:hAnsi="Arial" w:cs="Arial"/>
          <w:color w:val="000000" w:themeColor="text1"/>
          <w:sz w:val="24"/>
          <w:szCs w:val="24"/>
          <w:lang w:val="es-ES"/>
        </w:rPr>
        <w:t>Magistrado sustanciador: HUGO FERNANDO BASTIDAS BÁRCENAS</w:t>
      </w:r>
    </w:p>
    <w:p w:rsidR="00081513" w:rsidRPr="00081513" w:rsidRDefault="00081513" w:rsidP="00081513">
      <w:pPr>
        <w:jc w:val="both"/>
        <w:rPr>
          <w:rFonts w:ascii="Calibri" w:hAnsi="Calibri" w:cs="Times New Roman"/>
          <w:color w:val="000000" w:themeColor="text1"/>
        </w:rPr>
      </w:pPr>
      <w:r w:rsidRPr="00081513">
        <w:rPr>
          <w:rFonts w:ascii="Arial" w:hAnsi="Arial" w:cs="Arial"/>
          <w:color w:val="000000" w:themeColor="text1"/>
          <w:sz w:val="20"/>
          <w:szCs w:val="20"/>
          <w:lang w:val="es-ES"/>
        </w:rPr>
        <w:t> </w:t>
      </w:r>
    </w:p>
    <w:p w:rsidR="00081513" w:rsidRPr="00081513" w:rsidRDefault="00081513" w:rsidP="00081513">
      <w:pPr>
        <w:jc w:val="both"/>
        <w:rPr>
          <w:rFonts w:ascii="Calibri" w:hAnsi="Calibri"/>
          <w:color w:val="000000" w:themeColor="text1"/>
        </w:rPr>
      </w:pPr>
      <w:r w:rsidRPr="00081513">
        <w:rPr>
          <w:rFonts w:ascii="Arial" w:hAnsi="Arial" w:cs="Arial"/>
          <w:color w:val="000000" w:themeColor="text1"/>
          <w:sz w:val="20"/>
          <w:szCs w:val="20"/>
        </w:rPr>
        <w:t> </w:t>
      </w:r>
    </w:p>
    <w:p w:rsidR="00081513" w:rsidRPr="00081513" w:rsidRDefault="00081513" w:rsidP="00081513">
      <w:pPr>
        <w:jc w:val="both"/>
        <w:rPr>
          <w:rFonts w:ascii="Calibri" w:hAnsi="Calibri"/>
          <w:color w:val="000000" w:themeColor="text1"/>
        </w:rPr>
      </w:pPr>
      <w:r w:rsidRPr="00081513">
        <w:rPr>
          <w:rFonts w:ascii="Arial" w:hAnsi="Arial" w:cs="Arial"/>
          <w:color w:val="000000" w:themeColor="text1"/>
          <w:sz w:val="20"/>
          <w:szCs w:val="20"/>
          <w:lang w:val="es-ES_tradnl"/>
        </w:rPr>
        <w:t>AUTO</w:t>
      </w:r>
    </w:p>
    <w:p w:rsidR="00081513" w:rsidRPr="00081513" w:rsidRDefault="00081513" w:rsidP="00081513">
      <w:pPr>
        <w:jc w:val="both"/>
        <w:rPr>
          <w:rFonts w:ascii="Calibri" w:hAnsi="Calibri"/>
          <w:color w:val="000000" w:themeColor="text1"/>
        </w:rPr>
      </w:pPr>
      <w:r w:rsidRPr="00081513">
        <w:rPr>
          <w:rFonts w:ascii="Arial" w:hAnsi="Arial" w:cs="Arial"/>
          <w:color w:val="000000" w:themeColor="text1"/>
          <w:sz w:val="20"/>
          <w:szCs w:val="20"/>
        </w:rPr>
        <w:t> </w:t>
      </w:r>
    </w:p>
    <w:p w:rsidR="00081513" w:rsidRPr="00081513" w:rsidRDefault="00081513" w:rsidP="00081513">
      <w:pPr>
        <w:jc w:val="both"/>
        <w:rPr>
          <w:rFonts w:ascii="Calibri" w:hAnsi="Calibri"/>
          <w:color w:val="000000" w:themeColor="text1"/>
        </w:rPr>
      </w:pPr>
      <w:r w:rsidRPr="00081513">
        <w:rPr>
          <w:rFonts w:ascii="Arial" w:hAnsi="Arial" w:cs="Arial"/>
          <w:color w:val="000000" w:themeColor="text1"/>
          <w:sz w:val="20"/>
          <w:szCs w:val="20"/>
        </w:rPr>
        <w:t>Se decide sobre la competencia de la Sección Cuarta del Consejo de Estado para dictar sentencia en el proceso de la referencia.</w:t>
      </w:r>
    </w:p>
    <w:p w:rsidR="00081513" w:rsidRPr="00081513" w:rsidRDefault="00081513" w:rsidP="00081513">
      <w:pPr>
        <w:jc w:val="both"/>
        <w:rPr>
          <w:rFonts w:ascii="Calibri" w:hAnsi="Calibri"/>
          <w:color w:val="000000" w:themeColor="text1"/>
        </w:rPr>
      </w:pPr>
      <w:r w:rsidRPr="00081513">
        <w:rPr>
          <w:rFonts w:ascii="Arial" w:hAnsi="Arial" w:cs="Arial"/>
          <w:color w:val="000000" w:themeColor="text1"/>
          <w:sz w:val="20"/>
          <w:szCs w:val="20"/>
        </w:rPr>
        <w:t> </w:t>
      </w:r>
    </w:p>
    <w:p w:rsidR="00081513" w:rsidRPr="00081513" w:rsidRDefault="00081513" w:rsidP="00081513">
      <w:pPr>
        <w:pStyle w:val="Ttulo2"/>
        <w:spacing w:before="0" w:beforeAutospacing="0" w:after="0" w:afterAutospacing="0"/>
        <w:jc w:val="both"/>
        <w:textAlignment w:val="baseline"/>
        <w:rPr>
          <w:rFonts w:ascii="Arial" w:hAnsi="Arial" w:cs="Arial"/>
          <w:color w:val="000000" w:themeColor="text1"/>
          <w:sz w:val="24"/>
          <w:szCs w:val="24"/>
        </w:rPr>
      </w:pPr>
      <w:r w:rsidRPr="00081513">
        <w:rPr>
          <w:rFonts w:ascii="Arial" w:hAnsi="Arial" w:cs="Arial"/>
          <w:b w:val="0"/>
          <w:bCs w:val="0"/>
          <w:color w:val="000000" w:themeColor="text1"/>
          <w:sz w:val="20"/>
          <w:szCs w:val="20"/>
          <w:lang w:val="es-ES"/>
        </w:rPr>
        <w:t>1.</w:t>
      </w:r>
      <w:r w:rsidRPr="00081513">
        <w:rPr>
          <w:b w:val="0"/>
          <w:bCs w:val="0"/>
          <w:color w:val="000000" w:themeColor="text1"/>
          <w:sz w:val="14"/>
          <w:szCs w:val="14"/>
          <w:lang w:val="es-ES"/>
        </w:rPr>
        <w:t>           </w:t>
      </w:r>
      <w:r w:rsidRPr="00081513">
        <w:rPr>
          <w:rStyle w:val="apple-converted-space"/>
          <w:b w:val="0"/>
          <w:bCs w:val="0"/>
          <w:color w:val="000000" w:themeColor="text1"/>
          <w:sz w:val="14"/>
          <w:szCs w:val="14"/>
          <w:lang w:val="es-ES"/>
        </w:rPr>
        <w:t> </w:t>
      </w:r>
      <w:r w:rsidRPr="00081513">
        <w:rPr>
          <w:rFonts w:ascii="Arial" w:hAnsi="Arial" w:cs="Arial"/>
          <w:b w:val="0"/>
          <w:bCs w:val="0"/>
          <w:color w:val="000000" w:themeColor="text1"/>
          <w:sz w:val="20"/>
          <w:szCs w:val="20"/>
          <w:lang w:val="es-ES"/>
        </w:rPr>
        <w:t>ANTECEDENTES ADMINISTRATIVOS</w:t>
      </w:r>
    </w:p>
    <w:p w:rsidR="00081513" w:rsidRPr="00081513" w:rsidRDefault="00081513" w:rsidP="00081513">
      <w:pPr>
        <w:jc w:val="both"/>
        <w:rPr>
          <w:rFonts w:ascii="Calibri" w:hAnsi="Calibri" w:cs="Times New Roman"/>
          <w:color w:val="000000" w:themeColor="text1"/>
        </w:rPr>
      </w:pPr>
      <w:r w:rsidRPr="00081513">
        <w:rPr>
          <w:rFonts w:ascii="Arial" w:hAnsi="Arial" w:cs="Arial"/>
          <w:color w:val="000000" w:themeColor="text1"/>
          <w:sz w:val="20"/>
          <w:szCs w:val="20"/>
        </w:rPr>
        <w:t> </w:t>
      </w:r>
    </w:p>
    <w:p w:rsidR="00081513" w:rsidRPr="00081513" w:rsidRDefault="00081513" w:rsidP="00081513">
      <w:pPr>
        <w:spacing w:before="100" w:beforeAutospacing="1" w:after="100" w:afterAutospacing="1"/>
        <w:jc w:val="both"/>
        <w:textAlignment w:val="baseline"/>
        <w:rPr>
          <w:rFonts w:ascii="Times New Roman" w:hAnsi="Times New Roman"/>
          <w:color w:val="000000" w:themeColor="text1"/>
          <w:sz w:val="24"/>
          <w:szCs w:val="24"/>
        </w:rPr>
      </w:pPr>
      <w:r w:rsidRPr="00081513">
        <w:rPr>
          <w:rFonts w:ascii="Arial" w:hAnsi="Arial" w:cs="Arial"/>
          <w:color w:val="000000" w:themeColor="text1"/>
          <w:sz w:val="20"/>
          <w:szCs w:val="20"/>
        </w:rPr>
        <w:t>1.</w:t>
      </w:r>
      <w:r w:rsidRPr="00081513">
        <w:rPr>
          <w:color w:val="000000" w:themeColor="text1"/>
          <w:sz w:val="14"/>
          <w:szCs w:val="14"/>
        </w:rPr>
        <w:t>           </w:t>
      </w:r>
      <w:r w:rsidRPr="00081513">
        <w:rPr>
          <w:rStyle w:val="apple-converted-space"/>
          <w:color w:val="000000" w:themeColor="text1"/>
          <w:sz w:val="14"/>
          <w:szCs w:val="14"/>
        </w:rPr>
        <w:t> </w:t>
      </w:r>
      <w:r w:rsidRPr="00081513">
        <w:rPr>
          <w:rFonts w:ascii="Arial" w:hAnsi="Arial" w:cs="Arial"/>
          <w:color w:val="000000" w:themeColor="text1"/>
          <w:sz w:val="20"/>
          <w:szCs w:val="20"/>
          <w:lang w:val="es-MX"/>
        </w:rPr>
        <w:t>El 28 de enero de 1998,</w:t>
      </w:r>
      <w:r w:rsidRPr="00081513">
        <w:rPr>
          <w:rStyle w:val="apple-converted-space"/>
          <w:rFonts w:ascii="Arial" w:hAnsi="Arial" w:cs="Arial"/>
          <w:color w:val="000000" w:themeColor="text1"/>
          <w:sz w:val="20"/>
          <w:szCs w:val="20"/>
          <w:lang w:val="es-MX"/>
        </w:rPr>
        <w:t> </w:t>
      </w:r>
      <w:r w:rsidRPr="00081513">
        <w:rPr>
          <w:rFonts w:ascii="Arial" w:hAnsi="Arial" w:cs="Arial"/>
          <w:color w:val="000000" w:themeColor="text1"/>
          <w:sz w:val="20"/>
          <w:szCs w:val="20"/>
        </w:rPr>
        <w:t>Manuel Enrique Álvarez Acevedo</w:t>
      </w:r>
      <w:r w:rsidRPr="00081513">
        <w:rPr>
          <w:rStyle w:val="apple-converted-space"/>
          <w:rFonts w:ascii="Arial" w:hAnsi="Arial" w:cs="Arial"/>
          <w:color w:val="000000" w:themeColor="text1"/>
          <w:sz w:val="20"/>
          <w:szCs w:val="20"/>
          <w:lang w:val="es-MX"/>
        </w:rPr>
        <w:t> </w:t>
      </w:r>
      <w:r w:rsidRPr="00081513">
        <w:rPr>
          <w:rFonts w:ascii="Arial" w:hAnsi="Arial" w:cs="Arial"/>
          <w:color w:val="000000" w:themeColor="text1"/>
          <w:sz w:val="20"/>
          <w:szCs w:val="20"/>
          <w:lang w:val="es-MX"/>
        </w:rPr>
        <w:t>presentó la declaración del IVA correspondiente al sexto bimestre de 1997, en la que registró un saldo a pagar de $1.888.000</w:t>
      </w:r>
      <w:bookmarkStart w:id="1" w:name="_ftnref1"/>
      <w:r w:rsidRPr="00081513">
        <w:rPr>
          <w:rStyle w:val="Refdenotaalpie"/>
          <w:rFonts w:ascii="Arial" w:hAnsi="Arial" w:cs="Arial"/>
          <w:color w:val="000000" w:themeColor="text1"/>
          <w:sz w:val="20"/>
          <w:szCs w:val="20"/>
          <w:u w:val="single"/>
          <w:vertAlign w:val="superscript"/>
          <w:lang w:val="es-MX"/>
        </w:rPr>
        <w:t>[1]</w:t>
      </w:r>
      <w:bookmarkEnd w:id="1"/>
      <w:r w:rsidRPr="00081513">
        <w:rPr>
          <w:rFonts w:ascii="Arial" w:hAnsi="Arial" w:cs="Arial"/>
          <w:color w:val="000000" w:themeColor="text1"/>
          <w:sz w:val="20"/>
          <w:szCs w:val="20"/>
          <w:lang w:val="es-MX"/>
        </w:rPr>
        <w:t>.</w:t>
      </w:r>
    </w:p>
    <w:p w:rsidR="00081513" w:rsidRPr="00081513" w:rsidRDefault="00081513" w:rsidP="00081513">
      <w:pPr>
        <w:spacing w:before="100" w:beforeAutospacing="1" w:after="100" w:afterAutospacing="1"/>
        <w:jc w:val="both"/>
        <w:textAlignment w:val="baseline"/>
        <w:rPr>
          <w:color w:val="000000" w:themeColor="text1"/>
        </w:rPr>
      </w:pPr>
      <w:r w:rsidRPr="00081513">
        <w:rPr>
          <w:rFonts w:ascii="Arial" w:hAnsi="Arial" w:cs="Arial"/>
          <w:color w:val="000000" w:themeColor="text1"/>
          <w:sz w:val="20"/>
          <w:szCs w:val="20"/>
        </w:rPr>
        <w:t> </w:t>
      </w:r>
    </w:p>
    <w:p w:rsidR="00081513" w:rsidRPr="00081513" w:rsidRDefault="00081513" w:rsidP="00081513">
      <w:pPr>
        <w:spacing w:before="100" w:beforeAutospacing="1" w:after="100" w:afterAutospacing="1"/>
        <w:jc w:val="both"/>
        <w:textAlignment w:val="baseline"/>
        <w:rPr>
          <w:color w:val="000000" w:themeColor="text1"/>
        </w:rPr>
      </w:pPr>
      <w:r w:rsidRPr="00081513">
        <w:rPr>
          <w:rFonts w:ascii="Arial" w:hAnsi="Arial" w:cs="Arial"/>
          <w:color w:val="000000" w:themeColor="text1"/>
          <w:sz w:val="20"/>
          <w:szCs w:val="20"/>
        </w:rPr>
        <w:t>2.</w:t>
      </w:r>
      <w:r w:rsidRPr="00081513">
        <w:rPr>
          <w:color w:val="000000" w:themeColor="text1"/>
          <w:sz w:val="14"/>
          <w:szCs w:val="14"/>
        </w:rPr>
        <w:t>           </w:t>
      </w:r>
      <w:r w:rsidRPr="00081513">
        <w:rPr>
          <w:rStyle w:val="apple-converted-space"/>
          <w:color w:val="000000" w:themeColor="text1"/>
          <w:sz w:val="14"/>
          <w:szCs w:val="14"/>
        </w:rPr>
        <w:t> </w:t>
      </w:r>
      <w:r w:rsidRPr="00081513">
        <w:rPr>
          <w:rFonts w:ascii="Arial" w:hAnsi="Arial" w:cs="Arial"/>
          <w:color w:val="000000" w:themeColor="text1"/>
          <w:sz w:val="20"/>
          <w:szCs w:val="20"/>
        </w:rPr>
        <w:t>El 10 de marzo de 2000, mediante Requerimiento Especial 110632000000011, la DIAN propuso modificar la declaración del IVA antes referida</w:t>
      </w:r>
      <w:r w:rsidRPr="00081513">
        <w:rPr>
          <w:rStyle w:val="apple-converted-space"/>
          <w:rFonts w:ascii="Arial" w:hAnsi="Arial" w:cs="Arial"/>
          <w:color w:val="000000" w:themeColor="text1"/>
          <w:sz w:val="20"/>
          <w:szCs w:val="20"/>
        </w:rPr>
        <w:t> </w:t>
      </w:r>
      <w:r w:rsidRPr="00081513">
        <w:rPr>
          <w:rFonts w:ascii="Arial" w:hAnsi="Arial" w:cs="Arial"/>
          <w:color w:val="000000" w:themeColor="text1"/>
          <w:sz w:val="20"/>
          <w:szCs w:val="20"/>
          <w:lang w:val="es-MX"/>
        </w:rPr>
        <w:t>para liquidar un saldo a pagar de $10.866.000</w:t>
      </w:r>
      <w:bookmarkStart w:id="2" w:name="_ftnref2"/>
      <w:r w:rsidRPr="00081513">
        <w:rPr>
          <w:rStyle w:val="Refdenotaalpie"/>
          <w:rFonts w:ascii="Arial" w:hAnsi="Arial" w:cs="Arial"/>
          <w:color w:val="000000" w:themeColor="text1"/>
          <w:sz w:val="20"/>
          <w:szCs w:val="20"/>
          <w:u w:val="single"/>
          <w:vertAlign w:val="superscript"/>
          <w:lang w:val="es-MX"/>
        </w:rPr>
        <w:t>[2]</w:t>
      </w:r>
      <w:bookmarkEnd w:id="2"/>
      <w:r w:rsidRPr="00081513">
        <w:rPr>
          <w:rFonts w:ascii="Arial" w:hAnsi="Arial" w:cs="Arial"/>
          <w:color w:val="000000" w:themeColor="text1"/>
          <w:sz w:val="20"/>
          <w:szCs w:val="20"/>
          <w:lang w:val="es-MX"/>
        </w:rPr>
        <w:t>, suma que fue incrementada a $14.566.000 mediante</w:t>
      </w:r>
      <w:r w:rsidRPr="00081513">
        <w:rPr>
          <w:rStyle w:val="apple-converted-space"/>
          <w:rFonts w:ascii="Arial" w:hAnsi="Arial" w:cs="Arial"/>
          <w:color w:val="000000" w:themeColor="text1"/>
          <w:sz w:val="20"/>
          <w:szCs w:val="20"/>
          <w:lang w:val="es-MX"/>
        </w:rPr>
        <w:t> </w:t>
      </w:r>
      <w:r w:rsidRPr="00081513">
        <w:rPr>
          <w:rFonts w:ascii="Arial" w:hAnsi="Arial" w:cs="Arial"/>
          <w:color w:val="000000" w:themeColor="text1"/>
          <w:sz w:val="20"/>
          <w:szCs w:val="20"/>
        </w:rPr>
        <w:t>la ampliación al Requerimiento Especial 110632000000011</w:t>
      </w:r>
      <w:bookmarkStart w:id="3" w:name="_ftnref3"/>
      <w:r w:rsidRPr="00081513">
        <w:rPr>
          <w:rStyle w:val="Refdenotaalpie"/>
          <w:rFonts w:ascii="Arial" w:hAnsi="Arial" w:cs="Arial"/>
          <w:color w:val="000000" w:themeColor="text1"/>
          <w:sz w:val="20"/>
          <w:szCs w:val="20"/>
          <w:u w:val="single"/>
          <w:vertAlign w:val="superscript"/>
        </w:rPr>
        <w:t>[3]</w:t>
      </w:r>
      <w:bookmarkEnd w:id="3"/>
      <w:r w:rsidRPr="00081513">
        <w:rPr>
          <w:rFonts w:ascii="Arial" w:hAnsi="Arial" w:cs="Arial"/>
          <w:color w:val="000000" w:themeColor="text1"/>
          <w:sz w:val="20"/>
          <w:szCs w:val="20"/>
        </w:rPr>
        <w:t>.</w:t>
      </w:r>
    </w:p>
    <w:p w:rsidR="00081513" w:rsidRPr="00081513" w:rsidRDefault="00081513" w:rsidP="00081513">
      <w:pPr>
        <w:spacing w:before="100" w:beforeAutospacing="1" w:after="100" w:afterAutospacing="1"/>
        <w:jc w:val="both"/>
        <w:textAlignment w:val="baseline"/>
        <w:rPr>
          <w:color w:val="000000" w:themeColor="text1"/>
        </w:rPr>
      </w:pPr>
      <w:r w:rsidRPr="00081513">
        <w:rPr>
          <w:rFonts w:ascii="Arial" w:hAnsi="Arial" w:cs="Arial"/>
          <w:color w:val="000000" w:themeColor="text1"/>
          <w:sz w:val="20"/>
          <w:szCs w:val="20"/>
        </w:rPr>
        <w:lastRenderedPageBreak/>
        <w:t> </w:t>
      </w:r>
    </w:p>
    <w:p w:rsidR="00081513" w:rsidRPr="00081513" w:rsidRDefault="00081513" w:rsidP="00081513">
      <w:pPr>
        <w:spacing w:before="100" w:beforeAutospacing="1" w:after="100" w:afterAutospacing="1"/>
        <w:jc w:val="both"/>
        <w:textAlignment w:val="baseline"/>
        <w:rPr>
          <w:color w:val="000000" w:themeColor="text1"/>
        </w:rPr>
      </w:pPr>
      <w:r w:rsidRPr="00081513">
        <w:rPr>
          <w:rFonts w:ascii="Arial" w:hAnsi="Arial" w:cs="Arial"/>
          <w:color w:val="000000" w:themeColor="text1"/>
          <w:sz w:val="20"/>
          <w:szCs w:val="20"/>
        </w:rPr>
        <w:t>3.</w:t>
      </w:r>
      <w:r w:rsidRPr="00081513">
        <w:rPr>
          <w:color w:val="000000" w:themeColor="text1"/>
          <w:sz w:val="14"/>
          <w:szCs w:val="14"/>
        </w:rPr>
        <w:t>           </w:t>
      </w:r>
      <w:r w:rsidRPr="00081513">
        <w:rPr>
          <w:rStyle w:val="apple-converted-space"/>
          <w:color w:val="000000" w:themeColor="text1"/>
          <w:sz w:val="14"/>
          <w:szCs w:val="14"/>
        </w:rPr>
        <w:t> </w:t>
      </w:r>
      <w:r w:rsidRPr="00081513">
        <w:rPr>
          <w:rFonts w:ascii="Arial" w:hAnsi="Arial" w:cs="Arial"/>
          <w:color w:val="000000" w:themeColor="text1"/>
          <w:sz w:val="20"/>
          <w:szCs w:val="20"/>
        </w:rPr>
        <w:t>El 7 de mayo de 2001, mediante la Liquidación Oficial de Revisión 110642001000062, la DIAN modificó la declaración del IVA presentada por el demandante por el sexto bimestre de 1997, en los términos propuestos en la ampliación al requerimiento especial</w:t>
      </w:r>
      <w:bookmarkStart w:id="4" w:name="_ftnref4"/>
      <w:r w:rsidRPr="00081513">
        <w:rPr>
          <w:rStyle w:val="Refdenotaalpie"/>
          <w:rFonts w:ascii="Arial" w:hAnsi="Arial" w:cs="Arial"/>
          <w:color w:val="000000" w:themeColor="text1"/>
          <w:sz w:val="20"/>
          <w:szCs w:val="20"/>
          <w:u w:val="single"/>
          <w:vertAlign w:val="superscript"/>
        </w:rPr>
        <w:t>[4]</w:t>
      </w:r>
      <w:bookmarkEnd w:id="4"/>
      <w:r w:rsidRPr="00081513">
        <w:rPr>
          <w:rFonts w:ascii="Arial" w:hAnsi="Arial" w:cs="Arial"/>
          <w:color w:val="000000" w:themeColor="text1"/>
          <w:sz w:val="20"/>
          <w:szCs w:val="20"/>
        </w:rPr>
        <w:t>.</w:t>
      </w:r>
    </w:p>
    <w:p w:rsidR="00081513" w:rsidRPr="00081513" w:rsidRDefault="00081513" w:rsidP="00081513">
      <w:pPr>
        <w:spacing w:before="100" w:beforeAutospacing="1" w:after="100" w:afterAutospacing="1"/>
        <w:jc w:val="both"/>
        <w:textAlignment w:val="baseline"/>
        <w:rPr>
          <w:color w:val="000000" w:themeColor="text1"/>
        </w:rPr>
      </w:pPr>
      <w:r w:rsidRPr="00081513">
        <w:rPr>
          <w:rFonts w:ascii="Arial" w:hAnsi="Arial" w:cs="Arial"/>
          <w:color w:val="000000" w:themeColor="text1"/>
          <w:sz w:val="20"/>
          <w:szCs w:val="20"/>
        </w:rPr>
        <w:t> </w:t>
      </w:r>
    </w:p>
    <w:p w:rsidR="00081513" w:rsidRPr="00081513" w:rsidRDefault="00081513" w:rsidP="00081513">
      <w:pPr>
        <w:spacing w:before="100" w:beforeAutospacing="1" w:after="100" w:afterAutospacing="1"/>
        <w:jc w:val="both"/>
        <w:textAlignment w:val="baseline"/>
        <w:rPr>
          <w:color w:val="000000" w:themeColor="text1"/>
        </w:rPr>
      </w:pPr>
      <w:r w:rsidRPr="00081513">
        <w:rPr>
          <w:rFonts w:ascii="Arial" w:hAnsi="Arial" w:cs="Arial"/>
          <w:color w:val="000000" w:themeColor="text1"/>
          <w:sz w:val="20"/>
          <w:szCs w:val="20"/>
        </w:rPr>
        <w:t>4.</w:t>
      </w:r>
      <w:r w:rsidRPr="00081513">
        <w:rPr>
          <w:color w:val="000000" w:themeColor="text1"/>
          <w:sz w:val="14"/>
          <w:szCs w:val="14"/>
        </w:rPr>
        <w:t>           </w:t>
      </w:r>
      <w:r w:rsidRPr="00081513">
        <w:rPr>
          <w:rStyle w:val="apple-converted-space"/>
          <w:color w:val="000000" w:themeColor="text1"/>
          <w:sz w:val="14"/>
          <w:szCs w:val="14"/>
        </w:rPr>
        <w:t> </w:t>
      </w:r>
      <w:r w:rsidRPr="00081513">
        <w:rPr>
          <w:rFonts w:ascii="Arial" w:hAnsi="Arial" w:cs="Arial"/>
          <w:color w:val="000000" w:themeColor="text1"/>
          <w:sz w:val="20"/>
          <w:szCs w:val="20"/>
        </w:rPr>
        <w:t>El 31 de mayo de 2002, mediante la Resolución 110662002000023, la DIAN confirmó la liquidación oficial de revisión</w:t>
      </w:r>
      <w:bookmarkStart w:id="5" w:name="_ftnref5"/>
      <w:r w:rsidRPr="00081513">
        <w:rPr>
          <w:rStyle w:val="Refdenotaalpie"/>
          <w:rFonts w:ascii="Arial" w:hAnsi="Arial" w:cs="Arial"/>
          <w:color w:val="000000" w:themeColor="text1"/>
          <w:sz w:val="20"/>
          <w:szCs w:val="20"/>
          <w:u w:val="single"/>
          <w:vertAlign w:val="superscript"/>
        </w:rPr>
        <w:t>[5]</w:t>
      </w:r>
      <w:bookmarkEnd w:id="5"/>
      <w:r w:rsidRPr="00081513">
        <w:rPr>
          <w:rFonts w:ascii="Arial" w:hAnsi="Arial" w:cs="Arial"/>
          <w:color w:val="000000" w:themeColor="text1"/>
          <w:sz w:val="20"/>
          <w:szCs w:val="20"/>
        </w:rPr>
        <w:t>.</w:t>
      </w:r>
    </w:p>
    <w:p w:rsidR="00081513" w:rsidRPr="00081513" w:rsidRDefault="00081513" w:rsidP="00081513">
      <w:pPr>
        <w:spacing w:before="100" w:beforeAutospacing="1" w:after="100" w:afterAutospacing="1"/>
        <w:jc w:val="both"/>
        <w:rPr>
          <w:color w:val="000000" w:themeColor="text1"/>
        </w:rPr>
      </w:pPr>
      <w:r w:rsidRPr="00081513">
        <w:rPr>
          <w:rFonts w:ascii="Arial" w:hAnsi="Arial" w:cs="Arial"/>
          <w:color w:val="000000" w:themeColor="text1"/>
          <w:sz w:val="20"/>
          <w:szCs w:val="20"/>
        </w:rPr>
        <w:t> </w:t>
      </w:r>
    </w:p>
    <w:p w:rsidR="00081513" w:rsidRPr="00081513" w:rsidRDefault="00081513" w:rsidP="00081513">
      <w:pPr>
        <w:pStyle w:val="Ttulo2"/>
        <w:spacing w:before="0" w:beforeAutospacing="0" w:after="0" w:afterAutospacing="0"/>
        <w:jc w:val="both"/>
        <w:textAlignment w:val="baseline"/>
        <w:rPr>
          <w:rFonts w:ascii="Arial" w:hAnsi="Arial" w:cs="Arial"/>
          <w:color w:val="000000" w:themeColor="text1"/>
          <w:sz w:val="24"/>
          <w:szCs w:val="24"/>
        </w:rPr>
      </w:pPr>
      <w:r w:rsidRPr="00081513">
        <w:rPr>
          <w:rFonts w:ascii="Arial" w:hAnsi="Arial" w:cs="Arial"/>
          <w:b w:val="0"/>
          <w:bCs w:val="0"/>
          <w:color w:val="000000" w:themeColor="text1"/>
          <w:sz w:val="20"/>
          <w:szCs w:val="20"/>
          <w:lang w:val="es-ES"/>
        </w:rPr>
        <w:t>2.</w:t>
      </w:r>
      <w:r w:rsidRPr="00081513">
        <w:rPr>
          <w:b w:val="0"/>
          <w:bCs w:val="0"/>
          <w:color w:val="000000" w:themeColor="text1"/>
          <w:sz w:val="14"/>
          <w:szCs w:val="14"/>
          <w:lang w:val="es-ES"/>
        </w:rPr>
        <w:t>           </w:t>
      </w:r>
      <w:r w:rsidRPr="00081513">
        <w:rPr>
          <w:rStyle w:val="apple-converted-space"/>
          <w:b w:val="0"/>
          <w:bCs w:val="0"/>
          <w:color w:val="000000" w:themeColor="text1"/>
          <w:sz w:val="14"/>
          <w:szCs w:val="14"/>
          <w:lang w:val="es-ES"/>
        </w:rPr>
        <w:t> </w:t>
      </w:r>
      <w:r w:rsidRPr="00081513">
        <w:rPr>
          <w:rFonts w:ascii="Arial" w:hAnsi="Arial" w:cs="Arial"/>
          <w:b w:val="0"/>
          <w:bCs w:val="0"/>
          <w:color w:val="000000" w:themeColor="text1"/>
          <w:sz w:val="20"/>
          <w:szCs w:val="20"/>
          <w:lang w:val="es-ES"/>
        </w:rPr>
        <w:t>ANTECEDENTES PROCESALES</w:t>
      </w:r>
    </w:p>
    <w:p w:rsidR="00081513" w:rsidRPr="00081513" w:rsidRDefault="00081513" w:rsidP="00081513">
      <w:pPr>
        <w:spacing w:before="100" w:beforeAutospacing="1" w:after="100" w:afterAutospacing="1"/>
        <w:jc w:val="both"/>
        <w:rPr>
          <w:rFonts w:ascii="Times New Roman" w:hAnsi="Times New Roman" w:cs="Times New Roman"/>
          <w:color w:val="000000" w:themeColor="text1"/>
          <w:sz w:val="24"/>
          <w:szCs w:val="24"/>
        </w:rPr>
      </w:pPr>
      <w:r w:rsidRPr="00081513">
        <w:rPr>
          <w:rFonts w:ascii="Arial" w:hAnsi="Arial" w:cs="Arial"/>
          <w:color w:val="000000" w:themeColor="text1"/>
          <w:sz w:val="20"/>
          <w:szCs w:val="20"/>
        </w:rPr>
        <w:t> </w:t>
      </w:r>
    </w:p>
    <w:p w:rsidR="00081513" w:rsidRPr="00081513" w:rsidRDefault="00081513" w:rsidP="00081513">
      <w:pPr>
        <w:spacing w:before="100" w:beforeAutospacing="1" w:after="100" w:afterAutospacing="1"/>
        <w:jc w:val="both"/>
        <w:textAlignment w:val="baseline"/>
        <w:rPr>
          <w:color w:val="000000" w:themeColor="text1"/>
        </w:rPr>
      </w:pPr>
      <w:r w:rsidRPr="00081513">
        <w:rPr>
          <w:rFonts w:ascii="Arial" w:hAnsi="Arial" w:cs="Arial"/>
          <w:color w:val="000000" w:themeColor="text1"/>
          <w:sz w:val="20"/>
          <w:szCs w:val="20"/>
        </w:rPr>
        <w:t>1.</w:t>
      </w:r>
      <w:r w:rsidRPr="00081513">
        <w:rPr>
          <w:color w:val="000000" w:themeColor="text1"/>
          <w:sz w:val="14"/>
          <w:szCs w:val="14"/>
        </w:rPr>
        <w:t>           </w:t>
      </w:r>
      <w:r w:rsidRPr="00081513">
        <w:rPr>
          <w:rStyle w:val="apple-converted-space"/>
          <w:color w:val="000000" w:themeColor="text1"/>
          <w:sz w:val="14"/>
          <w:szCs w:val="14"/>
        </w:rPr>
        <w:t> </w:t>
      </w:r>
      <w:r w:rsidRPr="00081513">
        <w:rPr>
          <w:rFonts w:ascii="Arial" w:hAnsi="Arial" w:cs="Arial"/>
          <w:color w:val="000000" w:themeColor="text1"/>
          <w:sz w:val="20"/>
          <w:szCs w:val="20"/>
        </w:rPr>
        <w:t>El 5 de noviembre de 2002</w:t>
      </w:r>
      <w:bookmarkStart w:id="6" w:name="_ftnref6"/>
      <w:r w:rsidRPr="00081513">
        <w:rPr>
          <w:rStyle w:val="Refdenotaalpie"/>
          <w:rFonts w:ascii="Arial" w:hAnsi="Arial" w:cs="Arial"/>
          <w:color w:val="000000" w:themeColor="text1"/>
          <w:sz w:val="20"/>
          <w:szCs w:val="20"/>
          <w:u w:val="single"/>
          <w:vertAlign w:val="superscript"/>
        </w:rPr>
        <w:t>[6]</w:t>
      </w:r>
      <w:bookmarkEnd w:id="6"/>
      <w:r w:rsidRPr="00081513">
        <w:rPr>
          <w:rFonts w:ascii="Arial" w:hAnsi="Arial" w:cs="Arial"/>
          <w:color w:val="000000" w:themeColor="text1"/>
          <w:sz w:val="20"/>
          <w:szCs w:val="20"/>
        </w:rPr>
        <w:t xml:space="preserve">, en ejercicio de la acción de nulidad y restablecimiento del derecho </w:t>
      </w:r>
      <w:proofErr w:type="gramStart"/>
      <w:r w:rsidRPr="00081513">
        <w:rPr>
          <w:rFonts w:ascii="Arial" w:hAnsi="Arial" w:cs="Arial"/>
          <w:color w:val="000000" w:themeColor="text1"/>
          <w:sz w:val="20"/>
          <w:szCs w:val="20"/>
        </w:rPr>
        <w:t>prevista</w:t>
      </w:r>
      <w:proofErr w:type="gramEnd"/>
      <w:r w:rsidRPr="00081513">
        <w:rPr>
          <w:rFonts w:ascii="Arial" w:hAnsi="Arial" w:cs="Arial"/>
          <w:color w:val="000000" w:themeColor="text1"/>
          <w:sz w:val="20"/>
          <w:szCs w:val="20"/>
        </w:rPr>
        <w:t xml:space="preserve"> en el artículo 85 del </w:t>
      </w:r>
      <w:proofErr w:type="spellStart"/>
      <w:r w:rsidRPr="00081513">
        <w:rPr>
          <w:rFonts w:ascii="Arial" w:hAnsi="Arial" w:cs="Arial"/>
          <w:color w:val="000000" w:themeColor="text1"/>
          <w:sz w:val="20"/>
          <w:szCs w:val="20"/>
        </w:rPr>
        <w:t>CCA</w:t>
      </w:r>
      <w:proofErr w:type="spellEnd"/>
      <w:r w:rsidRPr="00081513">
        <w:rPr>
          <w:rFonts w:ascii="Arial" w:hAnsi="Arial" w:cs="Arial"/>
          <w:color w:val="000000" w:themeColor="text1"/>
          <w:sz w:val="20"/>
          <w:szCs w:val="20"/>
        </w:rPr>
        <w:t>, Manuel Enrique Álvarez Acevedo formuló, ante el Tribunal Administrativo de Antioquia, las siguientes pretensiones</w:t>
      </w:r>
      <w:bookmarkStart w:id="7" w:name="_ftnref7"/>
      <w:r w:rsidRPr="00081513">
        <w:rPr>
          <w:rStyle w:val="Refdenotaalpie"/>
          <w:rFonts w:ascii="Arial" w:hAnsi="Arial" w:cs="Arial"/>
          <w:color w:val="000000" w:themeColor="text1"/>
          <w:sz w:val="20"/>
          <w:szCs w:val="20"/>
          <w:u w:val="single"/>
          <w:vertAlign w:val="superscript"/>
        </w:rPr>
        <w:t>[7]</w:t>
      </w:r>
      <w:bookmarkEnd w:id="7"/>
      <w:r w:rsidRPr="00081513">
        <w:rPr>
          <w:rFonts w:ascii="Arial" w:hAnsi="Arial" w:cs="Arial"/>
          <w:color w:val="000000" w:themeColor="text1"/>
          <w:sz w:val="20"/>
          <w:szCs w:val="20"/>
        </w:rPr>
        <w:t>:</w:t>
      </w:r>
    </w:p>
    <w:p w:rsidR="00081513" w:rsidRPr="00081513" w:rsidRDefault="00081513" w:rsidP="00081513">
      <w:pPr>
        <w:spacing w:before="100" w:beforeAutospacing="1" w:after="100" w:afterAutospacing="1"/>
        <w:jc w:val="both"/>
        <w:rPr>
          <w:color w:val="000000" w:themeColor="text1"/>
        </w:rPr>
      </w:pPr>
      <w:r w:rsidRPr="00081513">
        <w:rPr>
          <w:rFonts w:ascii="Arial" w:hAnsi="Arial" w:cs="Arial"/>
          <w:color w:val="000000" w:themeColor="text1"/>
          <w:sz w:val="20"/>
          <w:szCs w:val="20"/>
        </w:rPr>
        <w:t> </w:t>
      </w:r>
    </w:p>
    <w:p w:rsidR="00081513" w:rsidRPr="00081513" w:rsidRDefault="00081513" w:rsidP="00081513">
      <w:pPr>
        <w:spacing w:before="100" w:beforeAutospacing="1" w:after="100" w:afterAutospacing="1"/>
        <w:jc w:val="both"/>
        <w:rPr>
          <w:color w:val="000000" w:themeColor="text1"/>
        </w:rPr>
      </w:pPr>
      <w:r w:rsidRPr="00081513">
        <w:rPr>
          <w:rFonts w:ascii="Arial" w:hAnsi="Arial" w:cs="Arial"/>
          <w:color w:val="000000" w:themeColor="text1"/>
          <w:sz w:val="20"/>
          <w:szCs w:val="20"/>
        </w:rPr>
        <w:t>1. Que es nula la liquidación oficial 110642001000062, proveniente de la DIVISIÓN DE LIQUIDACIÓN de la ADMINISTRACIÓN DE IMPUESTOS NACIONALES DE MEDELLÍN; la cual modificó la LIQUIDACIÓN PRIVADA presentada el 28 de enero de 1998, con</w:t>
      </w:r>
      <w:r w:rsidRPr="00081513">
        <w:rPr>
          <w:rStyle w:val="apple-converted-space"/>
          <w:rFonts w:ascii="Arial" w:hAnsi="Arial" w:cs="Arial"/>
          <w:color w:val="000000" w:themeColor="text1"/>
          <w:sz w:val="20"/>
          <w:szCs w:val="20"/>
        </w:rPr>
        <w:t> </w:t>
      </w:r>
      <w:proofErr w:type="spellStart"/>
      <w:r w:rsidRPr="00081513">
        <w:rPr>
          <w:rStyle w:val="spelle"/>
          <w:rFonts w:ascii="Arial" w:hAnsi="Arial" w:cs="Arial"/>
          <w:color w:val="000000" w:themeColor="text1"/>
          <w:sz w:val="20"/>
          <w:szCs w:val="20"/>
        </w:rPr>
        <w:t>sticker</w:t>
      </w:r>
      <w:proofErr w:type="spellEnd"/>
      <w:r w:rsidRPr="00081513">
        <w:rPr>
          <w:rStyle w:val="apple-converted-space"/>
          <w:rFonts w:ascii="Arial" w:hAnsi="Arial" w:cs="Arial"/>
          <w:color w:val="000000" w:themeColor="text1"/>
          <w:sz w:val="20"/>
          <w:szCs w:val="20"/>
        </w:rPr>
        <w:t> </w:t>
      </w:r>
      <w:r w:rsidRPr="00081513">
        <w:rPr>
          <w:rFonts w:ascii="Arial" w:hAnsi="Arial" w:cs="Arial"/>
          <w:color w:val="000000" w:themeColor="text1"/>
          <w:sz w:val="20"/>
          <w:szCs w:val="20"/>
        </w:rPr>
        <w:t>006029440604877, por el bimestre NOVIEMBRE-DICIEMBRE y que fijó los impuestos en la suma de $14.566.000.</w:t>
      </w:r>
    </w:p>
    <w:p w:rsidR="00081513" w:rsidRPr="00081513" w:rsidRDefault="00081513" w:rsidP="00081513">
      <w:pPr>
        <w:spacing w:before="100" w:beforeAutospacing="1" w:after="100" w:afterAutospacing="1"/>
        <w:jc w:val="both"/>
        <w:rPr>
          <w:color w:val="000000" w:themeColor="text1"/>
        </w:rPr>
      </w:pPr>
      <w:r w:rsidRPr="00081513">
        <w:rPr>
          <w:rFonts w:ascii="Arial" w:hAnsi="Arial" w:cs="Arial"/>
          <w:color w:val="000000" w:themeColor="text1"/>
          <w:sz w:val="20"/>
          <w:szCs w:val="20"/>
        </w:rPr>
        <w:t> </w:t>
      </w:r>
    </w:p>
    <w:p w:rsidR="00081513" w:rsidRPr="00081513" w:rsidRDefault="00081513" w:rsidP="00081513">
      <w:pPr>
        <w:spacing w:before="100" w:beforeAutospacing="1" w:after="100" w:afterAutospacing="1"/>
        <w:jc w:val="both"/>
        <w:rPr>
          <w:color w:val="000000" w:themeColor="text1"/>
        </w:rPr>
      </w:pPr>
      <w:r w:rsidRPr="00081513">
        <w:rPr>
          <w:rFonts w:ascii="Arial" w:hAnsi="Arial" w:cs="Arial"/>
          <w:color w:val="000000" w:themeColor="text1"/>
          <w:sz w:val="20"/>
          <w:szCs w:val="20"/>
        </w:rPr>
        <w:t>2. se DECLARE NULA LA RESOLUCIÓN RECURSO DE RECONSIDERACIÓN 110662002000019 de la DIVISIÓN JURÍDICA TRIBUTARIA, de fecha 2002-05-31, mediante la cual se confirma la LIQUIDACIÓN OFICIAL.</w:t>
      </w:r>
    </w:p>
    <w:p w:rsidR="00081513" w:rsidRPr="00081513" w:rsidRDefault="00081513" w:rsidP="00081513">
      <w:pPr>
        <w:spacing w:before="100" w:beforeAutospacing="1" w:after="100" w:afterAutospacing="1"/>
        <w:jc w:val="both"/>
        <w:rPr>
          <w:color w:val="000000" w:themeColor="text1"/>
        </w:rPr>
      </w:pPr>
      <w:r w:rsidRPr="00081513">
        <w:rPr>
          <w:rFonts w:ascii="Arial" w:hAnsi="Arial" w:cs="Arial"/>
          <w:color w:val="000000" w:themeColor="text1"/>
          <w:sz w:val="20"/>
          <w:szCs w:val="20"/>
        </w:rPr>
        <w:t> </w:t>
      </w:r>
    </w:p>
    <w:p w:rsidR="00081513" w:rsidRPr="00081513" w:rsidRDefault="00081513" w:rsidP="00081513">
      <w:pPr>
        <w:spacing w:before="100" w:beforeAutospacing="1" w:after="100" w:afterAutospacing="1"/>
        <w:jc w:val="both"/>
        <w:rPr>
          <w:color w:val="000000" w:themeColor="text1"/>
        </w:rPr>
      </w:pPr>
      <w:r w:rsidRPr="00081513">
        <w:rPr>
          <w:rFonts w:ascii="Arial" w:hAnsi="Arial" w:cs="Arial"/>
          <w:color w:val="000000" w:themeColor="text1"/>
          <w:sz w:val="20"/>
          <w:szCs w:val="20"/>
        </w:rPr>
        <w:t>3. Como consecuencia de las declaraciones anteriores, en vía de RESTABLECIMIENTO DEL DERECHO se disponga que el contribuyente MANUEL ENRIQUE ÁLVAREZ ACEVEDO, no debe pagar los mayores valores indicados en los actos administrativos que se demandan y en su lugar se declare la firmeza de la liquidación PRIVADA, presentada por el SEXTO BIMESTRE de 1997.</w:t>
      </w:r>
    </w:p>
    <w:p w:rsidR="00081513" w:rsidRPr="00081513" w:rsidRDefault="00081513" w:rsidP="00081513">
      <w:pPr>
        <w:spacing w:before="100" w:beforeAutospacing="1" w:after="100" w:afterAutospacing="1"/>
        <w:jc w:val="both"/>
        <w:rPr>
          <w:color w:val="000000" w:themeColor="text1"/>
        </w:rPr>
      </w:pPr>
      <w:r w:rsidRPr="00081513">
        <w:rPr>
          <w:rFonts w:ascii="Arial" w:hAnsi="Arial" w:cs="Arial"/>
          <w:color w:val="000000" w:themeColor="text1"/>
          <w:sz w:val="20"/>
          <w:szCs w:val="20"/>
        </w:rPr>
        <w:t> </w:t>
      </w:r>
    </w:p>
    <w:p w:rsidR="00081513" w:rsidRPr="00081513" w:rsidRDefault="00081513" w:rsidP="00081513">
      <w:pPr>
        <w:spacing w:before="100" w:beforeAutospacing="1" w:after="100" w:afterAutospacing="1"/>
        <w:jc w:val="both"/>
        <w:textAlignment w:val="baseline"/>
        <w:rPr>
          <w:color w:val="000000" w:themeColor="text1"/>
        </w:rPr>
      </w:pPr>
      <w:r w:rsidRPr="00081513">
        <w:rPr>
          <w:rFonts w:ascii="Arial" w:hAnsi="Arial" w:cs="Arial"/>
          <w:color w:val="000000" w:themeColor="text1"/>
          <w:sz w:val="20"/>
          <w:szCs w:val="20"/>
        </w:rPr>
        <w:t>El demandante estimó la cuantía de las pretensiones en $14.566.000, suma que corresponde al saldo por pagar y sanción por inexactitud, determinada en los actos administrativos acusados.</w:t>
      </w:r>
    </w:p>
    <w:p w:rsidR="00081513" w:rsidRPr="00081513" w:rsidRDefault="00081513" w:rsidP="00081513">
      <w:pPr>
        <w:spacing w:before="100" w:beforeAutospacing="1" w:after="100" w:afterAutospacing="1"/>
        <w:jc w:val="both"/>
        <w:textAlignment w:val="baseline"/>
        <w:rPr>
          <w:color w:val="000000" w:themeColor="text1"/>
        </w:rPr>
      </w:pPr>
      <w:r w:rsidRPr="00081513">
        <w:rPr>
          <w:rFonts w:ascii="Arial" w:hAnsi="Arial" w:cs="Arial"/>
          <w:color w:val="000000" w:themeColor="text1"/>
          <w:sz w:val="20"/>
          <w:szCs w:val="20"/>
        </w:rPr>
        <w:t> </w:t>
      </w:r>
    </w:p>
    <w:p w:rsidR="00081513" w:rsidRPr="00081513" w:rsidRDefault="00081513" w:rsidP="00081513">
      <w:pPr>
        <w:spacing w:before="100" w:beforeAutospacing="1" w:after="100" w:afterAutospacing="1"/>
        <w:jc w:val="both"/>
        <w:textAlignment w:val="baseline"/>
        <w:rPr>
          <w:color w:val="000000" w:themeColor="text1"/>
        </w:rPr>
      </w:pPr>
      <w:r w:rsidRPr="00081513">
        <w:rPr>
          <w:rFonts w:ascii="Arial" w:hAnsi="Arial" w:cs="Arial"/>
          <w:color w:val="000000" w:themeColor="text1"/>
          <w:sz w:val="20"/>
          <w:szCs w:val="20"/>
        </w:rPr>
        <w:lastRenderedPageBreak/>
        <w:t>2.</w:t>
      </w:r>
      <w:r w:rsidRPr="00081513">
        <w:rPr>
          <w:color w:val="000000" w:themeColor="text1"/>
          <w:sz w:val="14"/>
          <w:szCs w:val="14"/>
        </w:rPr>
        <w:t>           </w:t>
      </w:r>
      <w:r w:rsidRPr="00081513">
        <w:rPr>
          <w:rStyle w:val="apple-converted-space"/>
          <w:color w:val="000000" w:themeColor="text1"/>
          <w:sz w:val="14"/>
          <w:szCs w:val="14"/>
        </w:rPr>
        <w:t> </w:t>
      </w:r>
      <w:r w:rsidRPr="00081513">
        <w:rPr>
          <w:rFonts w:ascii="Arial" w:hAnsi="Arial" w:cs="Arial"/>
          <w:color w:val="000000" w:themeColor="text1"/>
          <w:sz w:val="20"/>
          <w:szCs w:val="20"/>
        </w:rPr>
        <w:t>Mediante auto del 18 de marzo de 2003, el Tribunal Administrativo de Antioquia admitió la demanda</w:t>
      </w:r>
      <w:bookmarkStart w:id="8" w:name="_ftnref8"/>
      <w:r w:rsidRPr="00081513">
        <w:rPr>
          <w:rStyle w:val="Refdenotaalpie"/>
          <w:rFonts w:ascii="Arial" w:hAnsi="Arial" w:cs="Arial"/>
          <w:color w:val="000000" w:themeColor="text1"/>
          <w:sz w:val="20"/>
          <w:szCs w:val="20"/>
          <w:u w:val="single"/>
          <w:vertAlign w:val="superscript"/>
        </w:rPr>
        <w:t>[8]</w:t>
      </w:r>
      <w:bookmarkEnd w:id="8"/>
      <w:r w:rsidRPr="00081513">
        <w:rPr>
          <w:rFonts w:ascii="Arial" w:hAnsi="Arial" w:cs="Arial"/>
          <w:color w:val="000000" w:themeColor="text1"/>
          <w:sz w:val="20"/>
          <w:szCs w:val="20"/>
        </w:rPr>
        <w:t>.</w:t>
      </w:r>
    </w:p>
    <w:p w:rsidR="00081513" w:rsidRPr="00081513" w:rsidRDefault="00081513" w:rsidP="00081513">
      <w:pPr>
        <w:spacing w:before="100" w:beforeAutospacing="1" w:after="100" w:afterAutospacing="1"/>
        <w:jc w:val="both"/>
        <w:textAlignment w:val="baseline"/>
        <w:rPr>
          <w:color w:val="000000" w:themeColor="text1"/>
        </w:rPr>
      </w:pPr>
      <w:r w:rsidRPr="00081513">
        <w:rPr>
          <w:rFonts w:ascii="Arial" w:hAnsi="Arial" w:cs="Arial"/>
          <w:color w:val="000000" w:themeColor="text1"/>
          <w:sz w:val="20"/>
          <w:szCs w:val="20"/>
        </w:rPr>
        <w:t> </w:t>
      </w:r>
    </w:p>
    <w:p w:rsidR="00081513" w:rsidRPr="00081513" w:rsidRDefault="00081513" w:rsidP="00081513">
      <w:pPr>
        <w:spacing w:before="100" w:beforeAutospacing="1" w:after="100" w:afterAutospacing="1"/>
        <w:jc w:val="both"/>
        <w:textAlignment w:val="baseline"/>
        <w:rPr>
          <w:color w:val="000000" w:themeColor="text1"/>
        </w:rPr>
      </w:pPr>
      <w:r w:rsidRPr="00081513">
        <w:rPr>
          <w:rFonts w:ascii="Arial" w:hAnsi="Arial" w:cs="Arial"/>
          <w:color w:val="000000" w:themeColor="text1"/>
          <w:sz w:val="20"/>
          <w:szCs w:val="20"/>
        </w:rPr>
        <w:t>3.</w:t>
      </w:r>
      <w:r w:rsidRPr="00081513">
        <w:rPr>
          <w:color w:val="000000" w:themeColor="text1"/>
          <w:sz w:val="14"/>
          <w:szCs w:val="14"/>
        </w:rPr>
        <w:t>           </w:t>
      </w:r>
      <w:r w:rsidRPr="00081513">
        <w:rPr>
          <w:rStyle w:val="apple-converted-space"/>
          <w:color w:val="000000" w:themeColor="text1"/>
          <w:sz w:val="14"/>
          <w:szCs w:val="14"/>
        </w:rPr>
        <w:t> </w:t>
      </w:r>
      <w:r w:rsidRPr="00081513">
        <w:rPr>
          <w:rFonts w:ascii="Arial" w:hAnsi="Arial" w:cs="Arial"/>
          <w:color w:val="000000" w:themeColor="text1"/>
          <w:sz w:val="20"/>
          <w:szCs w:val="20"/>
        </w:rPr>
        <w:t>El 22 de junio de 2004 venció el término concedido a las partes para alegar de conclusión y el proceso quedó en estado para ser fallado</w:t>
      </w:r>
      <w:bookmarkStart w:id="9" w:name="_ftnref9"/>
      <w:r w:rsidRPr="00081513">
        <w:rPr>
          <w:rStyle w:val="Refdenotaalpie"/>
          <w:rFonts w:ascii="Arial" w:hAnsi="Arial" w:cs="Arial"/>
          <w:color w:val="000000" w:themeColor="text1"/>
          <w:sz w:val="20"/>
          <w:szCs w:val="20"/>
          <w:u w:val="single"/>
          <w:vertAlign w:val="superscript"/>
        </w:rPr>
        <w:t>[9]</w:t>
      </w:r>
      <w:bookmarkEnd w:id="9"/>
      <w:r w:rsidRPr="00081513">
        <w:rPr>
          <w:rFonts w:ascii="Arial" w:hAnsi="Arial" w:cs="Arial"/>
          <w:color w:val="000000" w:themeColor="text1"/>
          <w:sz w:val="20"/>
          <w:szCs w:val="20"/>
        </w:rPr>
        <w:t>.</w:t>
      </w:r>
    </w:p>
    <w:p w:rsidR="00081513" w:rsidRPr="00081513" w:rsidRDefault="00081513" w:rsidP="00081513">
      <w:pPr>
        <w:spacing w:before="100" w:beforeAutospacing="1" w:after="100" w:afterAutospacing="1"/>
        <w:jc w:val="both"/>
        <w:textAlignment w:val="baseline"/>
        <w:rPr>
          <w:color w:val="000000" w:themeColor="text1"/>
        </w:rPr>
      </w:pPr>
      <w:r w:rsidRPr="00081513">
        <w:rPr>
          <w:rFonts w:ascii="Arial" w:hAnsi="Arial" w:cs="Arial"/>
          <w:color w:val="000000" w:themeColor="text1"/>
          <w:sz w:val="20"/>
          <w:szCs w:val="20"/>
        </w:rPr>
        <w:t> </w:t>
      </w:r>
    </w:p>
    <w:p w:rsidR="00081513" w:rsidRPr="00081513" w:rsidRDefault="00081513" w:rsidP="00081513">
      <w:pPr>
        <w:spacing w:before="100" w:beforeAutospacing="1" w:after="100" w:afterAutospacing="1"/>
        <w:jc w:val="both"/>
        <w:textAlignment w:val="baseline"/>
        <w:rPr>
          <w:color w:val="000000" w:themeColor="text1"/>
        </w:rPr>
      </w:pPr>
      <w:r w:rsidRPr="00081513">
        <w:rPr>
          <w:rFonts w:ascii="Arial" w:hAnsi="Arial" w:cs="Arial"/>
          <w:color w:val="000000" w:themeColor="text1"/>
          <w:sz w:val="20"/>
          <w:szCs w:val="20"/>
        </w:rPr>
        <w:t>4.</w:t>
      </w:r>
      <w:r w:rsidRPr="00081513">
        <w:rPr>
          <w:color w:val="000000" w:themeColor="text1"/>
          <w:sz w:val="14"/>
          <w:szCs w:val="14"/>
        </w:rPr>
        <w:t>           </w:t>
      </w:r>
      <w:r w:rsidRPr="00081513">
        <w:rPr>
          <w:rStyle w:val="apple-converted-space"/>
          <w:color w:val="000000" w:themeColor="text1"/>
          <w:sz w:val="14"/>
          <w:szCs w:val="14"/>
        </w:rPr>
        <w:t> </w:t>
      </w:r>
      <w:r w:rsidRPr="00081513">
        <w:rPr>
          <w:rFonts w:ascii="Arial" w:hAnsi="Arial" w:cs="Arial"/>
          <w:color w:val="000000" w:themeColor="text1"/>
          <w:sz w:val="20"/>
          <w:szCs w:val="20"/>
        </w:rPr>
        <w:t>El Tribunal Administrativo de Antioquia remitió el proceso a los juzgados administrativos. Por reparto del 24 de agosto de 2006, el proceso fue asignado al Juzgado Veintiocho Administrativo del Circuito de Medellín</w:t>
      </w:r>
      <w:bookmarkStart w:id="10" w:name="_ftnref10"/>
      <w:r w:rsidRPr="00081513">
        <w:rPr>
          <w:rStyle w:val="Refdenotaalpie"/>
          <w:rFonts w:ascii="Arial" w:hAnsi="Arial" w:cs="Arial"/>
          <w:color w:val="000000" w:themeColor="text1"/>
          <w:sz w:val="20"/>
          <w:szCs w:val="20"/>
          <w:u w:val="single"/>
          <w:vertAlign w:val="superscript"/>
        </w:rPr>
        <w:t>[10]</w:t>
      </w:r>
      <w:bookmarkEnd w:id="10"/>
      <w:r w:rsidRPr="00081513">
        <w:rPr>
          <w:rFonts w:ascii="Arial" w:hAnsi="Arial" w:cs="Arial"/>
          <w:color w:val="000000" w:themeColor="text1"/>
          <w:sz w:val="20"/>
          <w:szCs w:val="20"/>
        </w:rPr>
        <w:t>.</w:t>
      </w:r>
    </w:p>
    <w:p w:rsidR="00081513" w:rsidRPr="00081513" w:rsidRDefault="00081513" w:rsidP="00081513">
      <w:pPr>
        <w:spacing w:before="100" w:beforeAutospacing="1" w:after="100" w:afterAutospacing="1"/>
        <w:jc w:val="both"/>
        <w:textAlignment w:val="baseline"/>
        <w:rPr>
          <w:color w:val="000000" w:themeColor="text1"/>
        </w:rPr>
      </w:pPr>
      <w:r w:rsidRPr="00081513">
        <w:rPr>
          <w:rFonts w:ascii="Arial" w:hAnsi="Arial" w:cs="Arial"/>
          <w:color w:val="000000" w:themeColor="text1"/>
          <w:sz w:val="20"/>
          <w:szCs w:val="20"/>
        </w:rPr>
        <w:t> </w:t>
      </w:r>
    </w:p>
    <w:p w:rsidR="00081513" w:rsidRPr="00081513" w:rsidRDefault="00081513" w:rsidP="00081513">
      <w:pPr>
        <w:spacing w:before="100" w:beforeAutospacing="1" w:after="100" w:afterAutospacing="1"/>
        <w:jc w:val="both"/>
        <w:textAlignment w:val="baseline"/>
        <w:rPr>
          <w:color w:val="000000" w:themeColor="text1"/>
        </w:rPr>
      </w:pPr>
      <w:r w:rsidRPr="00081513">
        <w:rPr>
          <w:rFonts w:ascii="Arial" w:hAnsi="Arial" w:cs="Arial"/>
          <w:color w:val="000000" w:themeColor="text1"/>
          <w:sz w:val="20"/>
          <w:szCs w:val="20"/>
        </w:rPr>
        <w:t>5.</w:t>
      </w:r>
      <w:r w:rsidRPr="00081513">
        <w:rPr>
          <w:color w:val="000000" w:themeColor="text1"/>
          <w:sz w:val="14"/>
          <w:szCs w:val="14"/>
        </w:rPr>
        <w:t>           </w:t>
      </w:r>
      <w:r w:rsidRPr="00081513">
        <w:rPr>
          <w:rStyle w:val="apple-converted-space"/>
          <w:color w:val="000000" w:themeColor="text1"/>
          <w:sz w:val="14"/>
          <w:szCs w:val="14"/>
        </w:rPr>
        <w:t> </w:t>
      </w:r>
      <w:r w:rsidRPr="00081513">
        <w:rPr>
          <w:rFonts w:ascii="Arial" w:hAnsi="Arial" w:cs="Arial"/>
          <w:color w:val="000000" w:themeColor="text1"/>
          <w:sz w:val="20"/>
          <w:szCs w:val="20"/>
        </w:rPr>
        <w:t>El 8 de noviembre de 2006, el Juzgado Veintiocho Administrativo del Circuito de Medellín, con fundamento en la Ley 954 de 2005, se abstuvo de avocar el conocimiento del proceso y lo remitió Tribunal Administrativo de Antioquia</w:t>
      </w:r>
      <w:bookmarkStart w:id="11" w:name="_ftnref11"/>
      <w:r w:rsidRPr="00081513">
        <w:rPr>
          <w:rStyle w:val="Refdenotaalpie"/>
          <w:rFonts w:ascii="Arial" w:hAnsi="Arial" w:cs="Arial"/>
          <w:color w:val="000000" w:themeColor="text1"/>
          <w:sz w:val="20"/>
          <w:szCs w:val="20"/>
          <w:u w:val="single"/>
          <w:vertAlign w:val="superscript"/>
        </w:rPr>
        <w:t>[11]</w:t>
      </w:r>
      <w:bookmarkEnd w:id="11"/>
      <w:r w:rsidRPr="00081513">
        <w:rPr>
          <w:rFonts w:ascii="Arial" w:hAnsi="Arial" w:cs="Arial"/>
          <w:color w:val="000000" w:themeColor="text1"/>
          <w:sz w:val="20"/>
          <w:szCs w:val="20"/>
        </w:rPr>
        <w:t>.</w:t>
      </w:r>
    </w:p>
    <w:p w:rsidR="00081513" w:rsidRPr="00081513" w:rsidRDefault="00081513" w:rsidP="00081513">
      <w:pPr>
        <w:spacing w:before="100" w:beforeAutospacing="1" w:after="100" w:afterAutospacing="1"/>
        <w:jc w:val="both"/>
        <w:textAlignment w:val="baseline"/>
        <w:rPr>
          <w:color w:val="000000" w:themeColor="text1"/>
        </w:rPr>
      </w:pPr>
      <w:r w:rsidRPr="00081513">
        <w:rPr>
          <w:rFonts w:ascii="Arial" w:hAnsi="Arial" w:cs="Arial"/>
          <w:color w:val="000000" w:themeColor="text1"/>
          <w:sz w:val="20"/>
          <w:szCs w:val="20"/>
        </w:rPr>
        <w:t> </w:t>
      </w:r>
    </w:p>
    <w:p w:rsidR="00081513" w:rsidRPr="00081513" w:rsidRDefault="00081513" w:rsidP="00081513">
      <w:pPr>
        <w:spacing w:before="100" w:beforeAutospacing="1" w:after="100" w:afterAutospacing="1"/>
        <w:jc w:val="both"/>
        <w:textAlignment w:val="baseline"/>
        <w:rPr>
          <w:color w:val="000000" w:themeColor="text1"/>
        </w:rPr>
      </w:pPr>
      <w:r w:rsidRPr="00081513">
        <w:rPr>
          <w:rFonts w:ascii="Arial" w:hAnsi="Arial" w:cs="Arial"/>
          <w:color w:val="000000" w:themeColor="text1"/>
          <w:sz w:val="20"/>
          <w:szCs w:val="20"/>
        </w:rPr>
        <w:t>6.</w:t>
      </w:r>
      <w:r w:rsidRPr="00081513">
        <w:rPr>
          <w:color w:val="000000" w:themeColor="text1"/>
          <w:sz w:val="14"/>
          <w:szCs w:val="14"/>
        </w:rPr>
        <w:t>           </w:t>
      </w:r>
      <w:r w:rsidRPr="00081513">
        <w:rPr>
          <w:rStyle w:val="apple-converted-space"/>
          <w:color w:val="000000" w:themeColor="text1"/>
          <w:sz w:val="14"/>
          <w:szCs w:val="14"/>
        </w:rPr>
        <w:t> </w:t>
      </w:r>
      <w:r w:rsidRPr="00081513">
        <w:rPr>
          <w:rFonts w:ascii="Arial" w:hAnsi="Arial" w:cs="Arial"/>
          <w:color w:val="000000" w:themeColor="text1"/>
          <w:sz w:val="20"/>
          <w:szCs w:val="20"/>
        </w:rPr>
        <w:t>El 23 de enero de 2007, el Tribunal Administrativo de Antioquia volvió a asumir el conocimiento del proceso</w:t>
      </w:r>
      <w:bookmarkStart w:id="12" w:name="_ftnref12"/>
      <w:r w:rsidRPr="00081513">
        <w:rPr>
          <w:rStyle w:val="Refdenotaalpie"/>
          <w:rFonts w:ascii="Arial" w:hAnsi="Arial" w:cs="Arial"/>
          <w:color w:val="000000" w:themeColor="text1"/>
          <w:sz w:val="20"/>
          <w:szCs w:val="20"/>
          <w:u w:val="single"/>
          <w:vertAlign w:val="superscript"/>
        </w:rPr>
        <w:t>[12]</w:t>
      </w:r>
      <w:bookmarkEnd w:id="12"/>
      <w:r w:rsidRPr="00081513">
        <w:rPr>
          <w:rFonts w:ascii="Arial" w:hAnsi="Arial" w:cs="Arial"/>
          <w:color w:val="000000" w:themeColor="text1"/>
          <w:sz w:val="20"/>
          <w:szCs w:val="20"/>
        </w:rPr>
        <w:t>.</w:t>
      </w:r>
    </w:p>
    <w:p w:rsidR="00081513" w:rsidRPr="00081513" w:rsidRDefault="00081513" w:rsidP="00081513">
      <w:pPr>
        <w:spacing w:before="100" w:beforeAutospacing="1" w:after="100" w:afterAutospacing="1"/>
        <w:jc w:val="both"/>
        <w:textAlignment w:val="baseline"/>
        <w:rPr>
          <w:color w:val="000000" w:themeColor="text1"/>
        </w:rPr>
      </w:pPr>
      <w:r w:rsidRPr="00081513">
        <w:rPr>
          <w:rFonts w:ascii="Arial" w:hAnsi="Arial" w:cs="Arial"/>
          <w:color w:val="000000" w:themeColor="text1"/>
          <w:sz w:val="20"/>
          <w:szCs w:val="20"/>
        </w:rPr>
        <w:t> </w:t>
      </w:r>
    </w:p>
    <w:p w:rsidR="00081513" w:rsidRPr="00081513" w:rsidRDefault="00081513" w:rsidP="00081513">
      <w:pPr>
        <w:spacing w:before="100" w:beforeAutospacing="1" w:after="100" w:afterAutospacing="1"/>
        <w:jc w:val="both"/>
        <w:textAlignment w:val="baseline"/>
        <w:rPr>
          <w:color w:val="000000" w:themeColor="text1"/>
        </w:rPr>
      </w:pPr>
      <w:r w:rsidRPr="00081513">
        <w:rPr>
          <w:rFonts w:ascii="Arial" w:hAnsi="Arial" w:cs="Arial"/>
          <w:color w:val="000000" w:themeColor="text1"/>
          <w:sz w:val="20"/>
          <w:szCs w:val="20"/>
        </w:rPr>
        <w:t>7.</w:t>
      </w:r>
      <w:r w:rsidRPr="00081513">
        <w:rPr>
          <w:color w:val="000000" w:themeColor="text1"/>
          <w:sz w:val="14"/>
          <w:szCs w:val="14"/>
        </w:rPr>
        <w:t>           </w:t>
      </w:r>
      <w:r w:rsidRPr="00081513">
        <w:rPr>
          <w:rStyle w:val="apple-converted-space"/>
          <w:color w:val="000000" w:themeColor="text1"/>
          <w:sz w:val="14"/>
          <w:szCs w:val="14"/>
        </w:rPr>
        <w:t> </w:t>
      </w:r>
      <w:r w:rsidRPr="00081513">
        <w:rPr>
          <w:rFonts w:ascii="Arial" w:hAnsi="Arial" w:cs="Arial"/>
          <w:color w:val="000000" w:themeColor="text1"/>
          <w:sz w:val="20"/>
          <w:szCs w:val="20"/>
        </w:rPr>
        <w:t xml:space="preserve">El 13 de junio de 2011, en cumplimiento de lo dispuesto por la Sala Administrativa del Consejo Superior de la Judicatura en el Acuerdo </w:t>
      </w:r>
      <w:proofErr w:type="spellStart"/>
      <w:r w:rsidRPr="00081513">
        <w:rPr>
          <w:rFonts w:ascii="Arial" w:hAnsi="Arial" w:cs="Arial"/>
          <w:color w:val="000000" w:themeColor="text1"/>
          <w:sz w:val="20"/>
          <w:szCs w:val="20"/>
        </w:rPr>
        <w:t>PSSA</w:t>
      </w:r>
      <w:proofErr w:type="spellEnd"/>
      <w:r w:rsidRPr="00081513">
        <w:rPr>
          <w:rFonts w:ascii="Arial" w:hAnsi="Arial" w:cs="Arial"/>
          <w:color w:val="000000" w:themeColor="text1"/>
          <w:sz w:val="20"/>
          <w:szCs w:val="20"/>
        </w:rPr>
        <w:t xml:space="preserve"> 11-8151 del 31 de mayo de 2011, que adoptó unas medidas de descongestión, el Tribunal Administrativo de Antioquia envió el proceso al Tribunal Administrativo de San Andrés, Providencia y Santa Catalina para que dictara la sentencia del proceso de nulidad y restablecimiento del derecho</w:t>
      </w:r>
      <w:bookmarkStart w:id="13" w:name="_ftnref13"/>
      <w:r w:rsidRPr="00081513">
        <w:rPr>
          <w:rStyle w:val="Refdenotaalpie"/>
          <w:rFonts w:ascii="Arial" w:hAnsi="Arial" w:cs="Arial"/>
          <w:color w:val="000000" w:themeColor="text1"/>
          <w:sz w:val="20"/>
          <w:szCs w:val="20"/>
          <w:u w:val="single"/>
          <w:vertAlign w:val="superscript"/>
        </w:rPr>
        <w:t>[13]</w:t>
      </w:r>
      <w:bookmarkEnd w:id="13"/>
      <w:r w:rsidRPr="00081513">
        <w:rPr>
          <w:rFonts w:ascii="Arial" w:hAnsi="Arial" w:cs="Arial"/>
          <w:color w:val="000000" w:themeColor="text1"/>
          <w:sz w:val="20"/>
          <w:szCs w:val="20"/>
        </w:rPr>
        <w:t>.</w:t>
      </w:r>
    </w:p>
    <w:p w:rsidR="00081513" w:rsidRPr="00081513" w:rsidRDefault="00081513" w:rsidP="00081513">
      <w:pPr>
        <w:spacing w:before="100" w:beforeAutospacing="1" w:after="100" w:afterAutospacing="1"/>
        <w:jc w:val="both"/>
        <w:textAlignment w:val="baseline"/>
        <w:rPr>
          <w:color w:val="000000" w:themeColor="text1"/>
        </w:rPr>
      </w:pPr>
      <w:r w:rsidRPr="00081513">
        <w:rPr>
          <w:rFonts w:ascii="Arial" w:hAnsi="Arial" w:cs="Arial"/>
          <w:color w:val="000000" w:themeColor="text1"/>
          <w:sz w:val="20"/>
          <w:szCs w:val="20"/>
        </w:rPr>
        <w:t> </w:t>
      </w:r>
    </w:p>
    <w:p w:rsidR="00081513" w:rsidRPr="00081513" w:rsidRDefault="00081513" w:rsidP="00081513">
      <w:pPr>
        <w:spacing w:before="100" w:beforeAutospacing="1" w:after="100" w:afterAutospacing="1"/>
        <w:jc w:val="both"/>
        <w:textAlignment w:val="baseline"/>
        <w:rPr>
          <w:color w:val="000000" w:themeColor="text1"/>
        </w:rPr>
      </w:pPr>
      <w:r w:rsidRPr="00081513">
        <w:rPr>
          <w:rFonts w:ascii="Arial" w:hAnsi="Arial" w:cs="Arial"/>
          <w:color w:val="000000" w:themeColor="text1"/>
          <w:sz w:val="20"/>
          <w:szCs w:val="20"/>
        </w:rPr>
        <w:t>8.</w:t>
      </w:r>
      <w:r w:rsidRPr="00081513">
        <w:rPr>
          <w:color w:val="000000" w:themeColor="text1"/>
          <w:sz w:val="14"/>
          <w:szCs w:val="14"/>
        </w:rPr>
        <w:t>           </w:t>
      </w:r>
      <w:r w:rsidRPr="00081513">
        <w:rPr>
          <w:rStyle w:val="apple-converted-space"/>
          <w:color w:val="000000" w:themeColor="text1"/>
          <w:sz w:val="14"/>
          <w:szCs w:val="14"/>
        </w:rPr>
        <w:t> </w:t>
      </w:r>
      <w:r w:rsidRPr="00081513">
        <w:rPr>
          <w:rFonts w:ascii="Arial" w:hAnsi="Arial" w:cs="Arial"/>
          <w:color w:val="000000" w:themeColor="text1"/>
          <w:sz w:val="20"/>
          <w:szCs w:val="20"/>
        </w:rPr>
        <w:t>El 2 de agosto de 2011, el Tribunal Administrativo de San Andrés, Providencia y Santa Catalina avocó conocimiento del proceso</w:t>
      </w:r>
      <w:bookmarkStart w:id="14" w:name="_ftnref14"/>
      <w:r w:rsidRPr="00081513">
        <w:rPr>
          <w:rStyle w:val="Refdenotaalpie"/>
          <w:rFonts w:ascii="Arial" w:hAnsi="Arial" w:cs="Arial"/>
          <w:color w:val="000000" w:themeColor="text1"/>
          <w:sz w:val="20"/>
          <w:szCs w:val="20"/>
          <w:u w:val="single"/>
          <w:vertAlign w:val="superscript"/>
        </w:rPr>
        <w:t>[14]</w:t>
      </w:r>
      <w:bookmarkEnd w:id="14"/>
      <w:r w:rsidRPr="00081513">
        <w:rPr>
          <w:rFonts w:ascii="Arial" w:hAnsi="Arial" w:cs="Arial"/>
          <w:color w:val="000000" w:themeColor="text1"/>
          <w:sz w:val="20"/>
          <w:szCs w:val="20"/>
        </w:rPr>
        <w:t>.</w:t>
      </w:r>
    </w:p>
    <w:p w:rsidR="00081513" w:rsidRPr="00081513" w:rsidRDefault="00081513" w:rsidP="00081513">
      <w:pPr>
        <w:spacing w:before="100" w:beforeAutospacing="1" w:after="100" w:afterAutospacing="1"/>
        <w:jc w:val="both"/>
        <w:textAlignment w:val="baseline"/>
        <w:rPr>
          <w:color w:val="000000" w:themeColor="text1"/>
        </w:rPr>
      </w:pPr>
      <w:r w:rsidRPr="00081513">
        <w:rPr>
          <w:rFonts w:ascii="Arial" w:hAnsi="Arial" w:cs="Arial"/>
          <w:color w:val="000000" w:themeColor="text1"/>
          <w:sz w:val="20"/>
          <w:szCs w:val="20"/>
        </w:rPr>
        <w:t> </w:t>
      </w:r>
    </w:p>
    <w:p w:rsidR="00081513" w:rsidRPr="00081513" w:rsidRDefault="00081513" w:rsidP="00081513">
      <w:pPr>
        <w:spacing w:before="100" w:beforeAutospacing="1" w:after="100" w:afterAutospacing="1"/>
        <w:jc w:val="both"/>
        <w:textAlignment w:val="baseline"/>
        <w:rPr>
          <w:color w:val="000000" w:themeColor="text1"/>
        </w:rPr>
      </w:pPr>
      <w:r w:rsidRPr="00081513">
        <w:rPr>
          <w:rFonts w:ascii="Arial" w:hAnsi="Arial" w:cs="Arial"/>
          <w:color w:val="000000" w:themeColor="text1"/>
          <w:sz w:val="20"/>
          <w:szCs w:val="20"/>
        </w:rPr>
        <w:t>9.</w:t>
      </w:r>
      <w:r w:rsidRPr="00081513">
        <w:rPr>
          <w:color w:val="000000" w:themeColor="text1"/>
          <w:sz w:val="14"/>
          <w:szCs w:val="14"/>
        </w:rPr>
        <w:t>           </w:t>
      </w:r>
      <w:r w:rsidRPr="00081513">
        <w:rPr>
          <w:rStyle w:val="apple-converted-space"/>
          <w:color w:val="000000" w:themeColor="text1"/>
          <w:sz w:val="14"/>
          <w:szCs w:val="14"/>
        </w:rPr>
        <w:t> </w:t>
      </w:r>
      <w:r w:rsidRPr="00081513">
        <w:rPr>
          <w:rFonts w:ascii="Arial" w:hAnsi="Arial" w:cs="Arial"/>
          <w:color w:val="000000" w:themeColor="text1"/>
          <w:sz w:val="20"/>
          <w:szCs w:val="20"/>
        </w:rPr>
        <w:t>El 24 de noviembre de 2011, el Tribunal Administrativo de San Andrés, Providencia y Santa Catalina dictó sentencia y resolvió:</w:t>
      </w:r>
    </w:p>
    <w:p w:rsidR="00081513" w:rsidRPr="00081513" w:rsidRDefault="00081513" w:rsidP="00081513">
      <w:pPr>
        <w:spacing w:before="100" w:beforeAutospacing="1" w:after="100" w:afterAutospacing="1"/>
        <w:jc w:val="both"/>
        <w:textAlignment w:val="baseline"/>
        <w:rPr>
          <w:color w:val="000000" w:themeColor="text1"/>
        </w:rPr>
      </w:pPr>
      <w:r w:rsidRPr="00081513">
        <w:rPr>
          <w:rFonts w:ascii="Arial" w:hAnsi="Arial" w:cs="Arial"/>
          <w:color w:val="000000" w:themeColor="text1"/>
          <w:sz w:val="20"/>
          <w:szCs w:val="20"/>
        </w:rPr>
        <w:t> </w:t>
      </w:r>
    </w:p>
    <w:p w:rsidR="00081513" w:rsidRPr="00081513" w:rsidRDefault="00081513" w:rsidP="00081513">
      <w:pPr>
        <w:spacing w:before="100" w:beforeAutospacing="1" w:after="100" w:afterAutospacing="1"/>
        <w:jc w:val="both"/>
        <w:rPr>
          <w:color w:val="000000" w:themeColor="text1"/>
        </w:rPr>
      </w:pPr>
      <w:r w:rsidRPr="00081513">
        <w:rPr>
          <w:rFonts w:ascii="Arial" w:hAnsi="Arial" w:cs="Arial"/>
          <w:color w:val="000000" w:themeColor="text1"/>
          <w:sz w:val="20"/>
          <w:szCs w:val="20"/>
        </w:rPr>
        <w:t xml:space="preserve">PRIMERO: DECLÁRASE la NULIDAD PARCIAL de la Liquidación Oficial de revisión No. 110642001000062 de 7 de mayo de 2001 y de la Resolución No. 110662002000023 de 31 de mayo de 2002, actos mediante los cuales la División de Liquidación y Jurídica de la Administración </w:t>
      </w:r>
      <w:r w:rsidRPr="00081513">
        <w:rPr>
          <w:rFonts w:ascii="Arial" w:hAnsi="Arial" w:cs="Arial"/>
          <w:color w:val="000000" w:themeColor="text1"/>
          <w:sz w:val="20"/>
          <w:szCs w:val="20"/>
        </w:rPr>
        <w:lastRenderedPageBreak/>
        <w:t>Local de Impuestos de Medellín, determinó y Confirmó Oficialmente el impuesto sobre las ventas correspondiente al sexto bimestre de 1997 del contribuyente Manuel Enrique Álvarez Acevedo, conforme lo razonado.</w:t>
      </w:r>
    </w:p>
    <w:p w:rsidR="00081513" w:rsidRPr="00081513" w:rsidRDefault="00081513" w:rsidP="00081513">
      <w:pPr>
        <w:spacing w:before="100" w:beforeAutospacing="1" w:after="100" w:afterAutospacing="1"/>
        <w:jc w:val="both"/>
        <w:rPr>
          <w:color w:val="000000" w:themeColor="text1"/>
        </w:rPr>
      </w:pPr>
      <w:r w:rsidRPr="00081513">
        <w:rPr>
          <w:rFonts w:ascii="Arial" w:hAnsi="Arial" w:cs="Arial"/>
          <w:color w:val="000000" w:themeColor="text1"/>
          <w:sz w:val="20"/>
          <w:szCs w:val="20"/>
        </w:rPr>
        <w:t> </w:t>
      </w:r>
    </w:p>
    <w:p w:rsidR="00081513" w:rsidRPr="00081513" w:rsidRDefault="00081513" w:rsidP="00081513">
      <w:pPr>
        <w:spacing w:before="100" w:beforeAutospacing="1" w:after="100" w:afterAutospacing="1"/>
        <w:jc w:val="both"/>
        <w:rPr>
          <w:color w:val="000000" w:themeColor="text1"/>
        </w:rPr>
      </w:pPr>
      <w:r w:rsidRPr="00081513">
        <w:rPr>
          <w:rFonts w:ascii="Arial" w:hAnsi="Arial" w:cs="Arial"/>
          <w:color w:val="000000" w:themeColor="text1"/>
          <w:sz w:val="20"/>
          <w:szCs w:val="20"/>
        </w:rPr>
        <w:t xml:space="preserve">SEGUNDO: A título de restablecimiento del derecho, </w:t>
      </w:r>
      <w:proofErr w:type="spellStart"/>
      <w:r w:rsidRPr="00081513">
        <w:rPr>
          <w:rFonts w:ascii="Arial" w:hAnsi="Arial" w:cs="Arial"/>
          <w:color w:val="000000" w:themeColor="text1"/>
          <w:sz w:val="20"/>
          <w:szCs w:val="20"/>
        </w:rPr>
        <w:t>FÍJASE</w:t>
      </w:r>
      <w:proofErr w:type="spellEnd"/>
      <w:r w:rsidRPr="00081513">
        <w:rPr>
          <w:rFonts w:ascii="Arial" w:hAnsi="Arial" w:cs="Arial"/>
          <w:color w:val="000000" w:themeColor="text1"/>
          <w:sz w:val="20"/>
          <w:szCs w:val="20"/>
        </w:rPr>
        <w:t xml:space="preserve"> la suma de DIEZ MILLONES OCHOCIENTOS SESENTA Y SEIS MIL PESOS ($10.866.000) por concepto del impuesto sobre las ventas del sexto bimestre de 1997, a cargo del contribuyente Manuel Enrique Álvarez Acevedo.</w:t>
      </w:r>
    </w:p>
    <w:p w:rsidR="00081513" w:rsidRPr="00081513" w:rsidRDefault="00081513" w:rsidP="00081513">
      <w:pPr>
        <w:spacing w:before="100" w:beforeAutospacing="1" w:after="100" w:afterAutospacing="1"/>
        <w:jc w:val="both"/>
        <w:textAlignment w:val="baseline"/>
        <w:rPr>
          <w:color w:val="000000" w:themeColor="text1"/>
        </w:rPr>
      </w:pPr>
      <w:r w:rsidRPr="00081513">
        <w:rPr>
          <w:rFonts w:ascii="Arial" w:hAnsi="Arial" w:cs="Arial"/>
          <w:color w:val="000000" w:themeColor="text1"/>
          <w:sz w:val="20"/>
          <w:szCs w:val="20"/>
        </w:rPr>
        <w:t> </w:t>
      </w:r>
    </w:p>
    <w:p w:rsidR="00081513" w:rsidRPr="00081513" w:rsidRDefault="00081513" w:rsidP="00081513">
      <w:pPr>
        <w:spacing w:before="100" w:beforeAutospacing="1" w:after="100" w:afterAutospacing="1"/>
        <w:jc w:val="both"/>
        <w:textAlignment w:val="baseline"/>
        <w:rPr>
          <w:color w:val="000000" w:themeColor="text1"/>
        </w:rPr>
      </w:pPr>
      <w:r w:rsidRPr="00081513">
        <w:rPr>
          <w:rFonts w:ascii="Arial" w:hAnsi="Arial" w:cs="Arial"/>
          <w:color w:val="000000" w:themeColor="text1"/>
          <w:sz w:val="20"/>
          <w:szCs w:val="20"/>
        </w:rPr>
        <w:t>10.</w:t>
      </w:r>
      <w:r w:rsidRPr="00081513">
        <w:rPr>
          <w:color w:val="000000" w:themeColor="text1"/>
          <w:sz w:val="14"/>
          <w:szCs w:val="14"/>
        </w:rPr>
        <w:t>         </w:t>
      </w:r>
      <w:r w:rsidRPr="00081513">
        <w:rPr>
          <w:rStyle w:val="apple-converted-space"/>
          <w:color w:val="000000" w:themeColor="text1"/>
          <w:sz w:val="14"/>
          <w:szCs w:val="14"/>
        </w:rPr>
        <w:t> </w:t>
      </w:r>
      <w:r w:rsidRPr="00081513">
        <w:rPr>
          <w:rFonts w:ascii="Arial" w:hAnsi="Arial" w:cs="Arial"/>
          <w:color w:val="000000" w:themeColor="text1"/>
          <w:sz w:val="20"/>
          <w:szCs w:val="20"/>
        </w:rPr>
        <w:t>La sentencia del 24 de noviembre de 2011, proferida por el Tribunal de San Andrés, Providencia y Santa Catalina, fue notificada por el Tribunal Administrativo de Antioquia</w:t>
      </w:r>
      <w:bookmarkStart w:id="15" w:name="_ftnref15"/>
      <w:r w:rsidRPr="00081513">
        <w:rPr>
          <w:rStyle w:val="Refdenotaalpie"/>
          <w:rFonts w:ascii="Arial" w:hAnsi="Arial" w:cs="Arial"/>
          <w:color w:val="000000" w:themeColor="text1"/>
          <w:sz w:val="20"/>
          <w:szCs w:val="20"/>
          <w:u w:val="single"/>
          <w:vertAlign w:val="superscript"/>
        </w:rPr>
        <w:t>[15]</w:t>
      </w:r>
      <w:bookmarkEnd w:id="15"/>
      <w:r w:rsidRPr="00081513">
        <w:rPr>
          <w:rFonts w:ascii="Arial" w:hAnsi="Arial" w:cs="Arial"/>
          <w:color w:val="000000" w:themeColor="text1"/>
          <w:sz w:val="20"/>
          <w:szCs w:val="20"/>
        </w:rPr>
        <w:t>.</w:t>
      </w:r>
    </w:p>
    <w:p w:rsidR="00081513" w:rsidRPr="00081513" w:rsidRDefault="00081513" w:rsidP="00081513">
      <w:pPr>
        <w:spacing w:before="100" w:beforeAutospacing="1" w:after="100" w:afterAutospacing="1"/>
        <w:jc w:val="both"/>
        <w:textAlignment w:val="baseline"/>
        <w:rPr>
          <w:color w:val="000000" w:themeColor="text1"/>
        </w:rPr>
      </w:pPr>
      <w:r w:rsidRPr="00081513">
        <w:rPr>
          <w:rFonts w:ascii="Arial" w:hAnsi="Arial" w:cs="Arial"/>
          <w:color w:val="000000" w:themeColor="text1"/>
          <w:sz w:val="20"/>
          <w:szCs w:val="20"/>
        </w:rPr>
        <w:t>11.</w:t>
      </w:r>
      <w:r w:rsidRPr="00081513">
        <w:rPr>
          <w:color w:val="000000" w:themeColor="text1"/>
          <w:sz w:val="14"/>
          <w:szCs w:val="14"/>
        </w:rPr>
        <w:t>         </w:t>
      </w:r>
      <w:r w:rsidRPr="00081513">
        <w:rPr>
          <w:rStyle w:val="apple-converted-space"/>
          <w:color w:val="000000" w:themeColor="text1"/>
          <w:sz w:val="14"/>
          <w:szCs w:val="14"/>
        </w:rPr>
        <w:t> </w:t>
      </w:r>
      <w:r w:rsidRPr="00081513">
        <w:rPr>
          <w:rFonts w:ascii="Arial" w:hAnsi="Arial" w:cs="Arial"/>
          <w:color w:val="000000" w:themeColor="text1"/>
          <w:sz w:val="20"/>
          <w:szCs w:val="20"/>
        </w:rPr>
        <w:t>Inconforme con la sentencia, el 16 de febrero de 2012, la DIAN interpuso recurso de apelación contra el fallo del 24 de noviembre de 2011, dictado por el Tribunal Administrativo de San Andrés, Providencia y Santa Catalina</w:t>
      </w:r>
      <w:bookmarkStart w:id="16" w:name="_ftnref16"/>
      <w:r w:rsidRPr="00081513">
        <w:rPr>
          <w:rStyle w:val="Refdenotaalpie"/>
          <w:rFonts w:ascii="Arial" w:hAnsi="Arial" w:cs="Arial"/>
          <w:color w:val="000000" w:themeColor="text1"/>
          <w:sz w:val="20"/>
          <w:szCs w:val="20"/>
          <w:u w:val="single"/>
          <w:vertAlign w:val="superscript"/>
        </w:rPr>
        <w:t>[16]</w:t>
      </w:r>
      <w:bookmarkEnd w:id="16"/>
      <w:r w:rsidRPr="00081513">
        <w:rPr>
          <w:rFonts w:ascii="Arial" w:hAnsi="Arial" w:cs="Arial"/>
          <w:color w:val="000000" w:themeColor="text1"/>
          <w:sz w:val="20"/>
          <w:szCs w:val="20"/>
        </w:rPr>
        <w:t>.</w:t>
      </w:r>
    </w:p>
    <w:p w:rsidR="00081513" w:rsidRPr="00081513" w:rsidRDefault="00081513" w:rsidP="00081513">
      <w:pPr>
        <w:spacing w:before="100" w:beforeAutospacing="1" w:after="100" w:afterAutospacing="1"/>
        <w:jc w:val="both"/>
        <w:textAlignment w:val="baseline"/>
        <w:rPr>
          <w:color w:val="000000" w:themeColor="text1"/>
        </w:rPr>
      </w:pPr>
      <w:r w:rsidRPr="00081513">
        <w:rPr>
          <w:rFonts w:ascii="Arial" w:hAnsi="Arial" w:cs="Arial"/>
          <w:color w:val="000000" w:themeColor="text1"/>
          <w:sz w:val="20"/>
          <w:szCs w:val="20"/>
        </w:rPr>
        <w:t> </w:t>
      </w:r>
    </w:p>
    <w:p w:rsidR="00081513" w:rsidRPr="00081513" w:rsidRDefault="00081513" w:rsidP="00081513">
      <w:pPr>
        <w:spacing w:before="100" w:beforeAutospacing="1" w:after="100" w:afterAutospacing="1"/>
        <w:jc w:val="both"/>
        <w:textAlignment w:val="baseline"/>
        <w:rPr>
          <w:color w:val="000000" w:themeColor="text1"/>
        </w:rPr>
      </w:pPr>
      <w:r w:rsidRPr="00081513">
        <w:rPr>
          <w:rFonts w:ascii="Arial" w:hAnsi="Arial" w:cs="Arial"/>
          <w:color w:val="000000" w:themeColor="text1"/>
          <w:sz w:val="20"/>
          <w:szCs w:val="20"/>
        </w:rPr>
        <w:t>12.</w:t>
      </w:r>
      <w:r w:rsidRPr="00081513">
        <w:rPr>
          <w:color w:val="000000" w:themeColor="text1"/>
          <w:sz w:val="14"/>
          <w:szCs w:val="14"/>
        </w:rPr>
        <w:t>         </w:t>
      </w:r>
      <w:r w:rsidRPr="00081513">
        <w:rPr>
          <w:rStyle w:val="apple-converted-space"/>
          <w:color w:val="000000" w:themeColor="text1"/>
          <w:sz w:val="14"/>
          <w:szCs w:val="14"/>
        </w:rPr>
        <w:t> </w:t>
      </w:r>
      <w:r w:rsidRPr="00081513">
        <w:rPr>
          <w:rFonts w:ascii="Arial" w:hAnsi="Arial" w:cs="Arial"/>
          <w:color w:val="000000" w:themeColor="text1"/>
          <w:sz w:val="20"/>
          <w:szCs w:val="20"/>
        </w:rPr>
        <w:t>El 6 de junio de 2014, el Tribunal Administrativo de Antioquia concedió el recurso de apelación interpuesto por la DIAN contra la sentencia del 24 de noviembre de 2011 del Tribunal Administrativo de San Andrés, Providencia y Santa Catalina</w:t>
      </w:r>
      <w:bookmarkStart w:id="17" w:name="_ftnref17"/>
      <w:r w:rsidRPr="00081513">
        <w:rPr>
          <w:rStyle w:val="Refdenotaalpie"/>
          <w:rFonts w:ascii="Arial" w:hAnsi="Arial" w:cs="Arial"/>
          <w:color w:val="000000" w:themeColor="text1"/>
          <w:sz w:val="20"/>
          <w:szCs w:val="20"/>
          <w:u w:val="single"/>
          <w:vertAlign w:val="superscript"/>
        </w:rPr>
        <w:t>[17]</w:t>
      </w:r>
      <w:bookmarkEnd w:id="17"/>
      <w:r w:rsidRPr="00081513">
        <w:rPr>
          <w:rFonts w:ascii="Arial" w:hAnsi="Arial" w:cs="Arial"/>
          <w:color w:val="000000" w:themeColor="text1"/>
          <w:sz w:val="20"/>
          <w:szCs w:val="20"/>
        </w:rPr>
        <w:t>.</w:t>
      </w:r>
    </w:p>
    <w:p w:rsidR="00081513" w:rsidRPr="00081513" w:rsidRDefault="00081513" w:rsidP="00081513">
      <w:pPr>
        <w:spacing w:before="100" w:beforeAutospacing="1" w:after="100" w:afterAutospacing="1"/>
        <w:jc w:val="both"/>
        <w:textAlignment w:val="baseline"/>
        <w:rPr>
          <w:color w:val="000000" w:themeColor="text1"/>
        </w:rPr>
      </w:pPr>
      <w:r w:rsidRPr="00081513">
        <w:rPr>
          <w:rFonts w:ascii="Arial" w:hAnsi="Arial" w:cs="Arial"/>
          <w:color w:val="000000" w:themeColor="text1"/>
          <w:sz w:val="20"/>
          <w:szCs w:val="20"/>
        </w:rPr>
        <w:t> </w:t>
      </w:r>
    </w:p>
    <w:p w:rsidR="00081513" w:rsidRPr="00081513" w:rsidRDefault="00081513" w:rsidP="00081513">
      <w:pPr>
        <w:spacing w:before="100" w:beforeAutospacing="1" w:after="100" w:afterAutospacing="1"/>
        <w:jc w:val="both"/>
        <w:textAlignment w:val="baseline"/>
        <w:rPr>
          <w:color w:val="000000" w:themeColor="text1"/>
        </w:rPr>
      </w:pPr>
      <w:r w:rsidRPr="00081513">
        <w:rPr>
          <w:rFonts w:ascii="Arial" w:hAnsi="Arial" w:cs="Arial"/>
          <w:color w:val="000000" w:themeColor="text1"/>
          <w:sz w:val="20"/>
          <w:szCs w:val="20"/>
        </w:rPr>
        <w:t>13.</w:t>
      </w:r>
      <w:r w:rsidRPr="00081513">
        <w:rPr>
          <w:color w:val="000000" w:themeColor="text1"/>
          <w:sz w:val="14"/>
          <w:szCs w:val="14"/>
        </w:rPr>
        <w:t>         </w:t>
      </w:r>
      <w:r w:rsidRPr="00081513">
        <w:rPr>
          <w:rStyle w:val="apple-converted-space"/>
          <w:color w:val="000000" w:themeColor="text1"/>
          <w:sz w:val="14"/>
          <w:szCs w:val="14"/>
        </w:rPr>
        <w:t> </w:t>
      </w:r>
      <w:r w:rsidRPr="00081513">
        <w:rPr>
          <w:rFonts w:ascii="Arial" w:hAnsi="Arial" w:cs="Arial"/>
          <w:color w:val="000000" w:themeColor="text1"/>
          <w:sz w:val="20"/>
          <w:szCs w:val="20"/>
        </w:rPr>
        <w:t xml:space="preserve">Mediante auto del 23 de octubre 2014, con fundamento en lo establecido en el artículo 129 del </w:t>
      </w:r>
      <w:proofErr w:type="spellStart"/>
      <w:r w:rsidRPr="00081513">
        <w:rPr>
          <w:rFonts w:ascii="Arial" w:hAnsi="Arial" w:cs="Arial"/>
          <w:color w:val="000000" w:themeColor="text1"/>
          <w:sz w:val="20"/>
          <w:szCs w:val="20"/>
        </w:rPr>
        <w:t>CCA</w:t>
      </w:r>
      <w:proofErr w:type="spellEnd"/>
      <w:r w:rsidRPr="00081513">
        <w:rPr>
          <w:rFonts w:ascii="Arial" w:hAnsi="Arial" w:cs="Arial"/>
          <w:color w:val="000000" w:themeColor="text1"/>
          <w:sz w:val="20"/>
          <w:szCs w:val="20"/>
        </w:rPr>
        <w:t>, este despacho admitió el recurso de apelación interpuesto por la DIAN</w:t>
      </w:r>
      <w:bookmarkStart w:id="18" w:name="_ftnref18"/>
      <w:r w:rsidRPr="00081513">
        <w:rPr>
          <w:rStyle w:val="Refdenotaalpie"/>
          <w:rFonts w:ascii="Arial" w:hAnsi="Arial" w:cs="Arial"/>
          <w:color w:val="000000" w:themeColor="text1"/>
          <w:sz w:val="20"/>
          <w:szCs w:val="20"/>
          <w:u w:val="single"/>
          <w:vertAlign w:val="superscript"/>
        </w:rPr>
        <w:t>[18]</w:t>
      </w:r>
      <w:bookmarkEnd w:id="18"/>
      <w:r w:rsidRPr="00081513">
        <w:rPr>
          <w:rFonts w:ascii="Arial" w:hAnsi="Arial" w:cs="Arial"/>
          <w:color w:val="000000" w:themeColor="text1"/>
          <w:sz w:val="20"/>
          <w:szCs w:val="20"/>
        </w:rPr>
        <w:t>.</w:t>
      </w:r>
    </w:p>
    <w:p w:rsidR="00081513" w:rsidRPr="00081513" w:rsidRDefault="00081513" w:rsidP="00081513">
      <w:pPr>
        <w:spacing w:before="100" w:beforeAutospacing="1" w:after="100" w:afterAutospacing="1"/>
        <w:jc w:val="both"/>
        <w:textAlignment w:val="baseline"/>
        <w:rPr>
          <w:color w:val="000000" w:themeColor="text1"/>
        </w:rPr>
      </w:pPr>
      <w:r w:rsidRPr="00081513">
        <w:rPr>
          <w:rFonts w:ascii="Arial" w:hAnsi="Arial" w:cs="Arial"/>
          <w:color w:val="000000" w:themeColor="text1"/>
          <w:sz w:val="20"/>
          <w:szCs w:val="20"/>
        </w:rPr>
        <w:t> </w:t>
      </w:r>
    </w:p>
    <w:p w:rsidR="00081513" w:rsidRPr="00081513" w:rsidRDefault="00081513" w:rsidP="00081513">
      <w:pPr>
        <w:spacing w:before="100" w:beforeAutospacing="1" w:after="100" w:afterAutospacing="1"/>
        <w:jc w:val="both"/>
        <w:textAlignment w:val="baseline"/>
        <w:rPr>
          <w:color w:val="000000" w:themeColor="text1"/>
        </w:rPr>
      </w:pPr>
      <w:r w:rsidRPr="00081513">
        <w:rPr>
          <w:rFonts w:ascii="Arial" w:hAnsi="Arial" w:cs="Arial"/>
          <w:color w:val="000000" w:themeColor="text1"/>
          <w:sz w:val="20"/>
          <w:szCs w:val="20"/>
        </w:rPr>
        <w:t>14.</w:t>
      </w:r>
      <w:r w:rsidRPr="00081513">
        <w:rPr>
          <w:color w:val="000000" w:themeColor="text1"/>
          <w:sz w:val="14"/>
          <w:szCs w:val="14"/>
        </w:rPr>
        <w:t>         </w:t>
      </w:r>
      <w:r w:rsidRPr="00081513">
        <w:rPr>
          <w:rStyle w:val="apple-converted-space"/>
          <w:color w:val="000000" w:themeColor="text1"/>
          <w:sz w:val="14"/>
          <w:szCs w:val="14"/>
        </w:rPr>
        <w:t> </w:t>
      </w:r>
      <w:r w:rsidRPr="00081513">
        <w:rPr>
          <w:rFonts w:ascii="Arial" w:hAnsi="Arial" w:cs="Arial"/>
          <w:color w:val="000000" w:themeColor="text1"/>
          <w:sz w:val="20"/>
          <w:szCs w:val="20"/>
        </w:rPr>
        <w:t>Mediante auto del 13 de mayo de 2015, este despacho ordenó correr traslado a las partes para alegar de conclusión y al Ministerio Público para que rindiera concepto</w:t>
      </w:r>
      <w:bookmarkStart w:id="19" w:name="_ftnref19"/>
      <w:r w:rsidRPr="00081513">
        <w:rPr>
          <w:rStyle w:val="Refdenotaalpie"/>
          <w:rFonts w:ascii="Arial" w:hAnsi="Arial" w:cs="Arial"/>
          <w:color w:val="000000" w:themeColor="text1"/>
          <w:sz w:val="20"/>
          <w:szCs w:val="20"/>
          <w:u w:val="single"/>
          <w:vertAlign w:val="superscript"/>
        </w:rPr>
        <w:t>[19]</w:t>
      </w:r>
      <w:bookmarkEnd w:id="19"/>
      <w:r w:rsidRPr="00081513">
        <w:rPr>
          <w:rFonts w:ascii="Arial" w:hAnsi="Arial" w:cs="Arial"/>
          <w:color w:val="000000" w:themeColor="text1"/>
          <w:sz w:val="20"/>
          <w:szCs w:val="20"/>
        </w:rPr>
        <w:t>.</w:t>
      </w:r>
    </w:p>
    <w:p w:rsidR="00081513" w:rsidRPr="00081513" w:rsidRDefault="00081513" w:rsidP="00081513">
      <w:pPr>
        <w:spacing w:before="100" w:beforeAutospacing="1" w:after="100" w:afterAutospacing="1"/>
        <w:jc w:val="both"/>
        <w:textAlignment w:val="baseline"/>
        <w:rPr>
          <w:color w:val="000000" w:themeColor="text1"/>
        </w:rPr>
      </w:pPr>
      <w:r w:rsidRPr="00081513">
        <w:rPr>
          <w:rFonts w:ascii="Arial" w:hAnsi="Arial" w:cs="Arial"/>
          <w:color w:val="000000" w:themeColor="text1"/>
          <w:sz w:val="20"/>
          <w:szCs w:val="20"/>
        </w:rPr>
        <w:t> </w:t>
      </w:r>
    </w:p>
    <w:p w:rsidR="00081513" w:rsidRPr="00081513" w:rsidRDefault="00081513" w:rsidP="00081513">
      <w:pPr>
        <w:spacing w:before="100" w:beforeAutospacing="1" w:after="100" w:afterAutospacing="1"/>
        <w:jc w:val="both"/>
        <w:textAlignment w:val="baseline"/>
        <w:rPr>
          <w:color w:val="000000" w:themeColor="text1"/>
        </w:rPr>
      </w:pPr>
      <w:r w:rsidRPr="00081513">
        <w:rPr>
          <w:rFonts w:ascii="Arial" w:hAnsi="Arial" w:cs="Arial"/>
          <w:color w:val="000000" w:themeColor="text1"/>
          <w:sz w:val="20"/>
          <w:szCs w:val="20"/>
        </w:rPr>
        <w:t>15.</w:t>
      </w:r>
      <w:r w:rsidRPr="00081513">
        <w:rPr>
          <w:color w:val="000000" w:themeColor="text1"/>
          <w:sz w:val="14"/>
          <w:szCs w:val="14"/>
        </w:rPr>
        <w:t>         </w:t>
      </w:r>
      <w:r w:rsidRPr="00081513">
        <w:rPr>
          <w:rStyle w:val="apple-converted-space"/>
          <w:color w:val="000000" w:themeColor="text1"/>
          <w:sz w:val="14"/>
          <w:szCs w:val="14"/>
        </w:rPr>
        <w:t> </w:t>
      </w:r>
      <w:r w:rsidRPr="00081513">
        <w:rPr>
          <w:rFonts w:ascii="Arial" w:hAnsi="Arial" w:cs="Arial"/>
          <w:color w:val="000000" w:themeColor="text1"/>
          <w:sz w:val="20"/>
          <w:szCs w:val="20"/>
        </w:rPr>
        <w:t>El 8</w:t>
      </w:r>
      <w:r w:rsidRPr="00081513">
        <w:rPr>
          <w:rStyle w:val="apple-converted-space"/>
          <w:rFonts w:ascii="Arial" w:hAnsi="Arial" w:cs="Arial"/>
          <w:color w:val="000000" w:themeColor="text1"/>
          <w:sz w:val="20"/>
          <w:szCs w:val="20"/>
        </w:rPr>
        <w:t> </w:t>
      </w:r>
      <w:r w:rsidRPr="00081513">
        <w:rPr>
          <w:rFonts w:ascii="Arial" w:hAnsi="Arial" w:cs="Arial"/>
          <w:color w:val="000000" w:themeColor="text1"/>
          <w:sz w:val="20"/>
          <w:szCs w:val="20"/>
        </w:rPr>
        <w:t>de</w:t>
      </w:r>
      <w:r w:rsidRPr="00081513">
        <w:rPr>
          <w:rStyle w:val="apple-converted-space"/>
          <w:rFonts w:ascii="Arial" w:hAnsi="Arial" w:cs="Arial"/>
          <w:color w:val="000000" w:themeColor="text1"/>
          <w:sz w:val="20"/>
          <w:szCs w:val="20"/>
        </w:rPr>
        <w:t> </w:t>
      </w:r>
      <w:r w:rsidRPr="00081513">
        <w:rPr>
          <w:rFonts w:ascii="Arial" w:hAnsi="Arial" w:cs="Arial"/>
          <w:color w:val="000000" w:themeColor="text1"/>
          <w:sz w:val="20"/>
          <w:szCs w:val="20"/>
        </w:rPr>
        <w:t>julio de 2015, el Ministerio Público intervino y solicitó dejar sin efectos el auto del 23 de octubre de 2014, que admitió el recurso de apelación, y, en su lugar, pidió rechazarlo por improcedente por falta de competencia. Lo anterior en consideración a que, de conformidad con lo establecido en el artículo 1º de la Ley 954 de 2005, el proceso de nulidad y restablecimiento de derecho promovido por Manuel Enrique Álvarez Acevedo contra la DIAN, era de única instancia</w:t>
      </w:r>
      <w:bookmarkStart w:id="20" w:name="_ftnref20"/>
      <w:r w:rsidRPr="00081513">
        <w:rPr>
          <w:rStyle w:val="Refdenotaalpie"/>
          <w:rFonts w:ascii="Arial" w:hAnsi="Arial" w:cs="Arial"/>
          <w:color w:val="000000" w:themeColor="text1"/>
          <w:sz w:val="20"/>
          <w:szCs w:val="20"/>
          <w:u w:val="single"/>
          <w:vertAlign w:val="superscript"/>
        </w:rPr>
        <w:t>[20]</w:t>
      </w:r>
      <w:bookmarkEnd w:id="20"/>
      <w:r w:rsidRPr="00081513">
        <w:rPr>
          <w:rFonts w:ascii="Arial" w:hAnsi="Arial" w:cs="Arial"/>
          <w:color w:val="000000" w:themeColor="text1"/>
          <w:sz w:val="20"/>
          <w:szCs w:val="20"/>
        </w:rPr>
        <w:t>.</w:t>
      </w:r>
    </w:p>
    <w:p w:rsidR="00081513" w:rsidRPr="00081513" w:rsidRDefault="00081513" w:rsidP="00081513">
      <w:pPr>
        <w:spacing w:before="100" w:beforeAutospacing="1" w:after="100" w:afterAutospacing="1"/>
        <w:jc w:val="both"/>
        <w:rPr>
          <w:color w:val="000000" w:themeColor="text1"/>
        </w:rPr>
      </w:pPr>
      <w:r w:rsidRPr="00081513">
        <w:rPr>
          <w:rFonts w:ascii="Arial" w:hAnsi="Arial" w:cs="Arial"/>
          <w:color w:val="000000" w:themeColor="text1"/>
          <w:sz w:val="20"/>
          <w:szCs w:val="20"/>
        </w:rPr>
        <w:t> </w:t>
      </w:r>
    </w:p>
    <w:p w:rsidR="00081513" w:rsidRPr="00081513" w:rsidRDefault="00081513" w:rsidP="00081513">
      <w:pPr>
        <w:pStyle w:val="Ttulo2"/>
        <w:spacing w:before="0" w:beforeAutospacing="0" w:after="0" w:afterAutospacing="0"/>
        <w:jc w:val="both"/>
        <w:textAlignment w:val="baseline"/>
        <w:rPr>
          <w:rFonts w:ascii="Arial" w:hAnsi="Arial" w:cs="Arial"/>
          <w:color w:val="000000" w:themeColor="text1"/>
          <w:sz w:val="24"/>
          <w:szCs w:val="24"/>
        </w:rPr>
      </w:pPr>
      <w:r w:rsidRPr="00081513">
        <w:rPr>
          <w:rFonts w:ascii="Arial" w:hAnsi="Arial" w:cs="Arial"/>
          <w:b w:val="0"/>
          <w:bCs w:val="0"/>
          <w:color w:val="000000" w:themeColor="text1"/>
          <w:sz w:val="20"/>
          <w:szCs w:val="20"/>
          <w:lang w:val="es-ES"/>
        </w:rPr>
        <w:t>3.</w:t>
      </w:r>
      <w:r w:rsidRPr="00081513">
        <w:rPr>
          <w:b w:val="0"/>
          <w:bCs w:val="0"/>
          <w:color w:val="000000" w:themeColor="text1"/>
          <w:sz w:val="14"/>
          <w:szCs w:val="14"/>
          <w:lang w:val="es-ES"/>
        </w:rPr>
        <w:t>           </w:t>
      </w:r>
      <w:r w:rsidRPr="00081513">
        <w:rPr>
          <w:rStyle w:val="apple-converted-space"/>
          <w:b w:val="0"/>
          <w:bCs w:val="0"/>
          <w:color w:val="000000" w:themeColor="text1"/>
          <w:sz w:val="14"/>
          <w:szCs w:val="14"/>
          <w:lang w:val="es-ES"/>
        </w:rPr>
        <w:t> </w:t>
      </w:r>
      <w:r w:rsidRPr="00081513">
        <w:rPr>
          <w:rFonts w:ascii="Arial" w:hAnsi="Arial" w:cs="Arial"/>
          <w:b w:val="0"/>
          <w:bCs w:val="0"/>
          <w:color w:val="000000" w:themeColor="text1"/>
          <w:sz w:val="20"/>
          <w:szCs w:val="20"/>
          <w:lang w:val="es-ES"/>
        </w:rPr>
        <w:t>CONSIDERACIONES</w:t>
      </w:r>
    </w:p>
    <w:p w:rsidR="00081513" w:rsidRPr="00081513" w:rsidRDefault="00081513" w:rsidP="00081513">
      <w:pPr>
        <w:spacing w:before="100" w:beforeAutospacing="1" w:after="100" w:afterAutospacing="1"/>
        <w:jc w:val="both"/>
        <w:rPr>
          <w:rFonts w:ascii="Times New Roman" w:hAnsi="Times New Roman" w:cs="Times New Roman"/>
          <w:color w:val="000000" w:themeColor="text1"/>
          <w:sz w:val="24"/>
          <w:szCs w:val="24"/>
        </w:rPr>
      </w:pPr>
      <w:r w:rsidRPr="00081513">
        <w:rPr>
          <w:rFonts w:ascii="Arial" w:hAnsi="Arial" w:cs="Arial"/>
          <w:color w:val="000000" w:themeColor="text1"/>
          <w:sz w:val="20"/>
          <w:szCs w:val="20"/>
        </w:rPr>
        <w:t> </w:t>
      </w:r>
    </w:p>
    <w:p w:rsidR="00081513" w:rsidRPr="00081513" w:rsidRDefault="00081513" w:rsidP="00081513">
      <w:pPr>
        <w:spacing w:before="100" w:beforeAutospacing="1" w:after="100" w:afterAutospacing="1"/>
        <w:jc w:val="both"/>
        <w:rPr>
          <w:color w:val="000000" w:themeColor="text1"/>
        </w:rPr>
      </w:pPr>
      <w:r w:rsidRPr="00081513">
        <w:rPr>
          <w:rFonts w:ascii="Arial" w:hAnsi="Arial" w:cs="Arial"/>
          <w:color w:val="000000" w:themeColor="text1"/>
          <w:sz w:val="20"/>
          <w:szCs w:val="20"/>
        </w:rPr>
        <w:lastRenderedPageBreak/>
        <w:t>Encontrándose el proceso al despacho para fallo, la sala unitaria advierte que la Sala de la Sección Cuarta del Consejo de Estado carece de competencia para dictar sentencia, pues el asunto no tenía vocación de doble instancia, veamos:</w:t>
      </w:r>
    </w:p>
    <w:p w:rsidR="00081513" w:rsidRPr="00081513" w:rsidRDefault="00081513" w:rsidP="00081513">
      <w:pPr>
        <w:spacing w:before="100" w:beforeAutospacing="1" w:after="100" w:afterAutospacing="1"/>
        <w:jc w:val="both"/>
        <w:rPr>
          <w:color w:val="000000" w:themeColor="text1"/>
        </w:rPr>
      </w:pPr>
      <w:r w:rsidRPr="00081513">
        <w:rPr>
          <w:rFonts w:ascii="Arial" w:hAnsi="Arial" w:cs="Arial"/>
          <w:color w:val="000000" w:themeColor="text1"/>
          <w:sz w:val="20"/>
          <w:szCs w:val="20"/>
        </w:rPr>
        <w:t> </w:t>
      </w:r>
    </w:p>
    <w:p w:rsidR="00081513" w:rsidRPr="00081513" w:rsidRDefault="00081513" w:rsidP="00081513">
      <w:pPr>
        <w:jc w:val="both"/>
        <w:rPr>
          <w:rFonts w:ascii="Calibri" w:hAnsi="Calibri"/>
          <w:color w:val="000000" w:themeColor="text1"/>
        </w:rPr>
      </w:pPr>
      <w:bookmarkStart w:id="21" w:name="164"/>
      <w:bookmarkEnd w:id="21"/>
      <w:r w:rsidRPr="00081513">
        <w:rPr>
          <w:rFonts w:ascii="Arial" w:hAnsi="Arial" w:cs="Arial"/>
          <w:color w:val="000000" w:themeColor="text1"/>
          <w:sz w:val="20"/>
          <w:szCs w:val="20"/>
        </w:rPr>
        <w:t>La Ley 446 de 1998, por medio de la que se modificaron y expidieron algunas normas del Código Contencioso Administrativo y se dictaron disposiciones sobre descongestión, eficiencia y acceso a la justicia, previó las reglas de competencia en la jurisdicción de lo contencioso administrativo. Así, el artículo 164 de la citada ley fijó las normas de vigencia que permiten determinar la competencia, así:</w:t>
      </w:r>
    </w:p>
    <w:p w:rsidR="00081513" w:rsidRPr="00081513" w:rsidRDefault="00081513" w:rsidP="00081513">
      <w:pPr>
        <w:jc w:val="both"/>
        <w:rPr>
          <w:rFonts w:ascii="Calibri" w:hAnsi="Calibri"/>
          <w:color w:val="000000" w:themeColor="text1"/>
        </w:rPr>
      </w:pPr>
      <w:r w:rsidRPr="00081513">
        <w:rPr>
          <w:rFonts w:ascii="Arial" w:hAnsi="Arial" w:cs="Arial"/>
          <w:color w:val="000000" w:themeColor="text1"/>
          <w:sz w:val="20"/>
          <w:szCs w:val="20"/>
        </w:rPr>
        <w:t>Artículo 164. Vigencia en materia</w:t>
      </w:r>
      <w:r w:rsidRPr="00081513">
        <w:rPr>
          <w:rStyle w:val="apple-converted-space"/>
          <w:rFonts w:ascii="Arial" w:hAnsi="Arial" w:cs="Arial"/>
          <w:color w:val="000000" w:themeColor="text1"/>
          <w:sz w:val="20"/>
          <w:szCs w:val="20"/>
        </w:rPr>
        <w:t> </w:t>
      </w:r>
      <w:proofErr w:type="gramStart"/>
      <w:r w:rsidRPr="00081513">
        <w:rPr>
          <w:rStyle w:val="grame"/>
          <w:rFonts w:ascii="Arial" w:hAnsi="Arial" w:cs="Arial"/>
          <w:color w:val="000000" w:themeColor="text1"/>
          <w:sz w:val="20"/>
          <w:szCs w:val="20"/>
        </w:rPr>
        <w:t>contencioso</w:t>
      </w:r>
      <w:proofErr w:type="gramEnd"/>
      <w:r w:rsidRPr="00081513">
        <w:rPr>
          <w:rStyle w:val="apple-converted-space"/>
          <w:rFonts w:ascii="Arial" w:hAnsi="Arial" w:cs="Arial"/>
          <w:color w:val="000000" w:themeColor="text1"/>
          <w:sz w:val="20"/>
          <w:szCs w:val="20"/>
        </w:rPr>
        <w:t> </w:t>
      </w:r>
      <w:r w:rsidRPr="00081513">
        <w:rPr>
          <w:rFonts w:ascii="Arial" w:hAnsi="Arial" w:cs="Arial"/>
          <w:color w:val="000000" w:themeColor="text1"/>
          <w:sz w:val="20"/>
          <w:szCs w:val="20"/>
        </w:rPr>
        <w:t>administrativa. En los procesos iniciados ante la jurisdicción contencioso administrativa, los recursos interpuestos, la práctica de pruebas decretadas, los términos que hubieren comenzado a correr, los incidentes en curso, y las notificaciones y citaciones que se estén surtiendo, se regirán por la ley vigente cuando se interpuso el recurso, se decretaron las pruebas, empezó a correr el término, se promovió el incidente o principió a surtirse la notificación.</w:t>
      </w:r>
    </w:p>
    <w:p w:rsidR="00081513" w:rsidRPr="00081513" w:rsidRDefault="00081513" w:rsidP="00081513">
      <w:pPr>
        <w:jc w:val="both"/>
        <w:rPr>
          <w:rFonts w:ascii="Calibri" w:hAnsi="Calibri"/>
          <w:color w:val="000000" w:themeColor="text1"/>
        </w:rPr>
      </w:pPr>
      <w:r w:rsidRPr="00081513">
        <w:rPr>
          <w:rFonts w:ascii="Arial" w:hAnsi="Arial" w:cs="Arial"/>
          <w:color w:val="000000" w:themeColor="text1"/>
          <w:sz w:val="20"/>
          <w:szCs w:val="20"/>
        </w:rPr>
        <w:t> </w:t>
      </w:r>
    </w:p>
    <w:p w:rsidR="00081513" w:rsidRPr="00081513" w:rsidRDefault="00081513" w:rsidP="00081513">
      <w:pPr>
        <w:jc w:val="both"/>
        <w:rPr>
          <w:rFonts w:ascii="Calibri" w:hAnsi="Calibri"/>
          <w:color w:val="000000" w:themeColor="text1"/>
        </w:rPr>
      </w:pPr>
      <w:r w:rsidRPr="00081513">
        <w:rPr>
          <w:rFonts w:ascii="Arial" w:hAnsi="Arial" w:cs="Arial"/>
          <w:color w:val="000000" w:themeColor="text1"/>
          <w:sz w:val="20"/>
          <w:szCs w:val="20"/>
        </w:rPr>
        <w:t>Los procesos de única instancia que cursan actualmente en el Consejo de Estado y que conforme a las disposiciones de esta ley correspondan a los Tribunales en única instancia, serán enviados a éstos en el estado en que se encuentren, salvo que hayan entrado al despacho para sentencia.</w:t>
      </w:r>
    </w:p>
    <w:p w:rsidR="00081513" w:rsidRPr="00081513" w:rsidRDefault="00081513" w:rsidP="00081513">
      <w:pPr>
        <w:jc w:val="both"/>
        <w:rPr>
          <w:rFonts w:ascii="Calibri" w:hAnsi="Calibri"/>
          <w:color w:val="000000" w:themeColor="text1"/>
        </w:rPr>
      </w:pPr>
      <w:r w:rsidRPr="00081513">
        <w:rPr>
          <w:rFonts w:ascii="Arial" w:hAnsi="Arial" w:cs="Arial"/>
          <w:color w:val="000000" w:themeColor="text1"/>
          <w:sz w:val="20"/>
          <w:szCs w:val="20"/>
        </w:rPr>
        <w:t> </w:t>
      </w:r>
    </w:p>
    <w:p w:rsidR="00081513" w:rsidRPr="00081513" w:rsidRDefault="00081513" w:rsidP="00081513">
      <w:pPr>
        <w:jc w:val="both"/>
        <w:rPr>
          <w:rFonts w:ascii="Calibri" w:hAnsi="Calibri"/>
          <w:color w:val="000000" w:themeColor="text1"/>
        </w:rPr>
      </w:pPr>
      <w:r w:rsidRPr="00081513">
        <w:rPr>
          <w:rFonts w:ascii="Arial" w:hAnsi="Arial" w:cs="Arial"/>
          <w:color w:val="000000" w:themeColor="text1"/>
          <w:sz w:val="20"/>
          <w:szCs w:val="20"/>
        </w:rPr>
        <w:t>Los procesos en curso que eran de única instancia ante el Consejo de Estado o ante los Tribunales y que quedaren de doble instancia se deberán enviar en el estado en que se encuentren al competente, según esta ley, salvo que hayan entrado al despacho para sentencia.</w:t>
      </w:r>
    </w:p>
    <w:p w:rsidR="00081513" w:rsidRPr="00081513" w:rsidRDefault="00081513" w:rsidP="00081513">
      <w:pPr>
        <w:jc w:val="both"/>
        <w:rPr>
          <w:rFonts w:ascii="Calibri" w:hAnsi="Calibri"/>
          <w:color w:val="000000" w:themeColor="text1"/>
        </w:rPr>
      </w:pPr>
      <w:r w:rsidRPr="00081513">
        <w:rPr>
          <w:rFonts w:ascii="Arial" w:hAnsi="Arial" w:cs="Arial"/>
          <w:color w:val="000000" w:themeColor="text1"/>
          <w:sz w:val="20"/>
          <w:szCs w:val="20"/>
        </w:rPr>
        <w:t> </w:t>
      </w:r>
    </w:p>
    <w:p w:rsidR="00081513" w:rsidRPr="00081513" w:rsidRDefault="00081513" w:rsidP="00081513">
      <w:pPr>
        <w:jc w:val="both"/>
        <w:rPr>
          <w:rFonts w:ascii="Calibri" w:hAnsi="Calibri"/>
          <w:color w:val="000000" w:themeColor="text1"/>
        </w:rPr>
      </w:pPr>
      <w:r w:rsidRPr="00081513">
        <w:rPr>
          <w:rFonts w:ascii="Arial" w:hAnsi="Arial" w:cs="Arial"/>
          <w:color w:val="000000" w:themeColor="text1"/>
          <w:sz w:val="20"/>
          <w:szCs w:val="20"/>
        </w:rPr>
        <w:t>Los procesos en curso que a la vigencia de esta ley eran de doble instancia y quedaren de única, no serán susceptibles de apelación, a menos que ya el recurso se hubiere interpuesto.</w:t>
      </w:r>
      <w:r w:rsidRPr="00081513">
        <w:rPr>
          <w:rStyle w:val="apple-converted-space"/>
          <w:rFonts w:ascii="Arial" w:hAnsi="Arial" w:cs="Arial"/>
          <w:color w:val="000000" w:themeColor="text1"/>
          <w:sz w:val="20"/>
          <w:szCs w:val="20"/>
        </w:rPr>
        <w:t> </w:t>
      </w:r>
      <w:r w:rsidRPr="00081513">
        <w:rPr>
          <w:rFonts w:ascii="Arial" w:hAnsi="Arial" w:cs="Arial"/>
          <w:color w:val="000000" w:themeColor="text1"/>
          <w:sz w:val="20"/>
          <w:szCs w:val="20"/>
        </w:rPr>
        <w:t> (Se resalta)</w:t>
      </w:r>
    </w:p>
    <w:p w:rsidR="00081513" w:rsidRPr="00081513" w:rsidRDefault="00081513" w:rsidP="00081513">
      <w:pPr>
        <w:jc w:val="both"/>
        <w:rPr>
          <w:rFonts w:ascii="Calibri" w:hAnsi="Calibri"/>
          <w:color w:val="000000" w:themeColor="text1"/>
        </w:rPr>
      </w:pPr>
      <w:r w:rsidRPr="00081513">
        <w:rPr>
          <w:rFonts w:ascii="Arial" w:hAnsi="Arial" w:cs="Arial"/>
          <w:color w:val="000000" w:themeColor="text1"/>
          <w:sz w:val="20"/>
          <w:szCs w:val="20"/>
        </w:rPr>
        <w:t> </w:t>
      </w:r>
    </w:p>
    <w:p w:rsidR="00081513" w:rsidRPr="00081513" w:rsidRDefault="00081513" w:rsidP="00081513">
      <w:pPr>
        <w:jc w:val="both"/>
        <w:rPr>
          <w:rFonts w:ascii="Calibri" w:hAnsi="Calibri"/>
          <w:color w:val="000000" w:themeColor="text1"/>
        </w:rPr>
      </w:pPr>
      <w:r w:rsidRPr="00081513">
        <w:rPr>
          <w:rFonts w:ascii="Arial" w:hAnsi="Arial" w:cs="Arial"/>
          <w:color w:val="000000" w:themeColor="text1"/>
          <w:sz w:val="20"/>
          <w:szCs w:val="20"/>
        </w:rPr>
        <w:t>Por su parte, el artículo 1° de la Ley 954 de 2005</w:t>
      </w:r>
      <w:bookmarkStart w:id="22" w:name="_ftnref21"/>
      <w:r w:rsidRPr="00081513">
        <w:rPr>
          <w:rStyle w:val="Refdenotaalpie"/>
          <w:rFonts w:ascii="Arial" w:hAnsi="Arial" w:cs="Arial"/>
          <w:color w:val="000000" w:themeColor="text1"/>
          <w:sz w:val="20"/>
          <w:szCs w:val="20"/>
          <w:u w:val="single"/>
          <w:vertAlign w:val="superscript"/>
        </w:rPr>
        <w:t>[21]</w:t>
      </w:r>
      <w:bookmarkEnd w:id="22"/>
      <w:r w:rsidRPr="00081513">
        <w:rPr>
          <w:rStyle w:val="apple-converted-space"/>
          <w:rFonts w:ascii="Arial" w:hAnsi="Arial" w:cs="Arial"/>
          <w:color w:val="000000" w:themeColor="text1"/>
          <w:sz w:val="20"/>
          <w:szCs w:val="20"/>
        </w:rPr>
        <w:t> </w:t>
      </w:r>
      <w:r w:rsidRPr="00081513">
        <w:rPr>
          <w:rFonts w:ascii="Arial" w:hAnsi="Arial" w:cs="Arial"/>
          <w:color w:val="000000" w:themeColor="text1"/>
          <w:sz w:val="20"/>
          <w:szCs w:val="20"/>
        </w:rPr>
        <w:t>adecuó temporalmente las reglas de competencia en la jurisdicción de lo contencioso administrativo previstas en la Ley 446 y ordenó que,</w:t>
      </w:r>
      <w:r w:rsidRPr="00081513">
        <w:rPr>
          <w:rStyle w:val="apple-converted-space"/>
          <w:rFonts w:ascii="Arial" w:hAnsi="Arial" w:cs="Arial"/>
          <w:color w:val="000000" w:themeColor="text1"/>
          <w:sz w:val="20"/>
          <w:szCs w:val="20"/>
        </w:rPr>
        <w:t> </w:t>
      </w:r>
      <w:r w:rsidRPr="00081513">
        <w:rPr>
          <w:rFonts w:ascii="Arial" w:hAnsi="Arial" w:cs="Arial"/>
          <w:color w:val="000000" w:themeColor="text1"/>
          <w:sz w:val="20"/>
          <w:szCs w:val="20"/>
        </w:rPr>
        <w:t>mientras entraban a operar los juzgados administrativos, los tribunales conocerían, en</w:t>
      </w:r>
      <w:r w:rsidRPr="00081513">
        <w:rPr>
          <w:rStyle w:val="apple-converted-space"/>
          <w:rFonts w:ascii="Arial" w:hAnsi="Arial" w:cs="Arial"/>
          <w:color w:val="000000" w:themeColor="text1"/>
          <w:sz w:val="20"/>
          <w:szCs w:val="20"/>
        </w:rPr>
        <w:t> </w:t>
      </w:r>
      <w:r w:rsidRPr="00081513">
        <w:rPr>
          <w:rFonts w:ascii="Arial" w:hAnsi="Arial" w:cs="Arial"/>
          <w:color w:val="000000" w:themeColor="text1"/>
          <w:sz w:val="20"/>
          <w:szCs w:val="20"/>
        </w:rPr>
        <w:t>única instancia, de los procesos</w:t>
      </w:r>
      <w:r w:rsidRPr="00081513">
        <w:rPr>
          <w:rStyle w:val="apple-converted-space"/>
          <w:rFonts w:ascii="Arial" w:hAnsi="Arial" w:cs="Arial"/>
          <w:color w:val="000000" w:themeColor="text1"/>
          <w:sz w:val="20"/>
          <w:szCs w:val="20"/>
        </w:rPr>
        <w:t> </w:t>
      </w:r>
      <w:r w:rsidRPr="00081513">
        <w:rPr>
          <w:rFonts w:ascii="Arial" w:hAnsi="Arial" w:cs="Arial"/>
          <w:color w:val="000000" w:themeColor="text1"/>
          <w:sz w:val="20"/>
          <w:szCs w:val="20"/>
        </w:rPr>
        <w:t>que se promovieran para discutir el monto, la distribución o la asignación de impuestos, contribuciones y tasas nacionales, departamentales, municipales o distritales cuya cuantía fuera igual o inferior a 300 salarios mínimos legales mensuales</w:t>
      </w:r>
      <w:r w:rsidRPr="00081513">
        <w:rPr>
          <w:rStyle w:val="apple-converted-space"/>
          <w:rFonts w:ascii="Arial" w:hAnsi="Arial" w:cs="Arial"/>
          <w:color w:val="000000" w:themeColor="text1"/>
          <w:sz w:val="20"/>
          <w:szCs w:val="20"/>
        </w:rPr>
        <w:t> </w:t>
      </w:r>
      <w:r w:rsidRPr="00081513">
        <w:rPr>
          <w:rFonts w:ascii="Arial" w:hAnsi="Arial" w:cs="Arial"/>
          <w:color w:val="000000" w:themeColor="text1"/>
          <w:sz w:val="20"/>
          <w:szCs w:val="20"/>
        </w:rPr>
        <w:t>y,</w:t>
      </w:r>
      <w:r w:rsidRPr="00081513">
        <w:rPr>
          <w:rStyle w:val="apple-converted-space"/>
          <w:rFonts w:ascii="Arial" w:hAnsi="Arial" w:cs="Arial"/>
          <w:color w:val="000000" w:themeColor="text1"/>
          <w:sz w:val="20"/>
          <w:szCs w:val="20"/>
        </w:rPr>
        <w:t> </w:t>
      </w:r>
      <w:r w:rsidRPr="00081513">
        <w:rPr>
          <w:rFonts w:ascii="Arial" w:hAnsi="Arial" w:cs="Arial"/>
          <w:color w:val="000000" w:themeColor="text1"/>
          <w:sz w:val="20"/>
          <w:szCs w:val="20"/>
        </w:rPr>
        <w:t>en primera instancia,</w:t>
      </w:r>
      <w:r w:rsidRPr="00081513">
        <w:rPr>
          <w:rStyle w:val="apple-converted-space"/>
          <w:rFonts w:ascii="Arial" w:hAnsi="Arial" w:cs="Arial"/>
          <w:color w:val="000000" w:themeColor="text1"/>
          <w:sz w:val="20"/>
          <w:szCs w:val="20"/>
        </w:rPr>
        <w:t> </w:t>
      </w:r>
      <w:r w:rsidRPr="00081513">
        <w:rPr>
          <w:rFonts w:ascii="Arial" w:hAnsi="Arial" w:cs="Arial"/>
          <w:color w:val="000000" w:themeColor="text1"/>
          <w:sz w:val="20"/>
          <w:szCs w:val="20"/>
        </w:rPr>
        <w:t>cuando la cuantía excediera ese monto.</w:t>
      </w:r>
    </w:p>
    <w:p w:rsidR="00081513" w:rsidRPr="00081513" w:rsidRDefault="00081513" w:rsidP="00081513">
      <w:pPr>
        <w:jc w:val="both"/>
        <w:rPr>
          <w:rFonts w:ascii="Calibri" w:hAnsi="Calibri"/>
          <w:color w:val="000000" w:themeColor="text1"/>
        </w:rPr>
      </w:pPr>
      <w:r w:rsidRPr="00081513">
        <w:rPr>
          <w:rFonts w:ascii="Arial" w:hAnsi="Arial" w:cs="Arial"/>
          <w:color w:val="000000" w:themeColor="text1"/>
          <w:sz w:val="20"/>
          <w:szCs w:val="20"/>
        </w:rPr>
        <w:t> </w:t>
      </w:r>
    </w:p>
    <w:p w:rsidR="00081513" w:rsidRPr="00081513" w:rsidRDefault="00081513" w:rsidP="00081513">
      <w:pPr>
        <w:pStyle w:val="Textoindependiente3"/>
        <w:spacing w:after="0"/>
        <w:jc w:val="both"/>
        <w:rPr>
          <w:rFonts w:ascii="Times New Roman" w:hAnsi="Times New Roman"/>
          <w:color w:val="000000" w:themeColor="text1"/>
        </w:rPr>
      </w:pPr>
      <w:r w:rsidRPr="00081513">
        <w:rPr>
          <w:rFonts w:ascii="Arial" w:hAnsi="Arial" w:cs="Arial"/>
          <w:color w:val="000000" w:themeColor="text1"/>
          <w:sz w:val="20"/>
          <w:szCs w:val="20"/>
          <w:lang w:val="es-ES"/>
        </w:rPr>
        <w:t>Conforme con el inciso tercero del artículo 164 de la ley 446 y el artículo 1° de la Ley 954, los procesos</w:t>
      </w:r>
      <w:r w:rsidRPr="00081513">
        <w:rPr>
          <w:rStyle w:val="apple-converted-space"/>
          <w:rFonts w:ascii="Arial" w:hAnsi="Arial" w:cs="Arial"/>
          <w:color w:val="000000" w:themeColor="text1"/>
          <w:sz w:val="20"/>
          <w:szCs w:val="20"/>
          <w:lang w:val="es-ES"/>
        </w:rPr>
        <w:t> </w:t>
      </w:r>
      <w:r w:rsidRPr="00081513">
        <w:rPr>
          <w:rFonts w:ascii="Arial" w:hAnsi="Arial" w:cs="Arial"/>
          <w:color w:val="000000" w:themeColor="text1"/>
          <w:sz w:val="20"/>
          <w:szCs w:val="20"/>
          <w:lang w:val="es-ES"/>
        </w:rPr>
        <w:t>de nulidad y restablecimiento del derecho de carácter tributario</w:t>
      </w:r>
      <w:r w:rsidRPr="00081513">
        <w:rPr>
          <w:rStyle w:val="apple-converted-space"/>
          <w:rFonts w:ascii="Arial" w:hAnsi="Arial" w:cs="Arial"/>
          <w:color w:val="000000" w:themeColor="text1"/>
          <w:sz w:val="20"/>
          <w:szCs w:val="20"/>
          <w:lang w:val="es-ES"/>
        </w:rPr>
        <w:t> </w:t>
      </w:r>
      <w:r w:rsidRPr="00081513">
        <w:rPr>
          <w:rFonts w:ascii="Arial" w:hAnsi="Arial" w:cs="Arial"/>
          <w:color w:val="000000" w:themeColor="text1"/>
          <w:sz w:val="20"/>
          <w:szCs w:val="20"/>
          <w:lang w:val="es-ES"/>
        </w:rPr>
        <w:t xml:space="preserve">que, en principio, le correspondían a los juzgados administrativos se convirtieron en procesos de única instancia y eran </w:t>
      </w:r>
      <w:r w:rsidRPr="00081513">
        <w:rPr>
          <w:rFonts w:ascii="Arial" w:hAnsi="Arial" w:cs="Arial"/>
          <w:color w:val="000000" w:themeColor="text1"/>
          <w:sz w:val="20"/>
          <w:szCs w:val="20"/>
          <w:lang w:val="es-ES"/>
        </w:rPr>
        <w:lastRenderedPageBreak/>
        <w:t>decididos por los tribunales administrativos, siempre que la cuantía fuera igual o inferior a 300 salarios mínimos mensuales legales y que hubiesen ingresado para fallo antes del 1° de agosto de 2006 (fecha en que entraron a operar los juzgados administrativos)</w:t>
      </w:r>
      <w:bookmarkStart w:id="23" w:name="_ftnref22"/>
      <w:r w:rsidRPr="00081513">
        <w:rPr>
          <w:rStyle w:val="Refdenotaalpie"/>
          <w:rFonts w:ascii="Arial" w:hAnsi="Arial" w:cs="Arial"/>
          <w:color w:val="000000" w:themeColor="text1"/>
          <w:sz w:val="20"/>
          <w:szCs w:val="20"/>
          <w:u w:val="single"/>
          <w:vertAlign w:val="superscript"/>
          <w:lang w:val="es-ES"/>
        </w:rPr>
        <w:t>[22]</w:t>
      </w:r>
      <w:bookmarkEnd w:id="23"/>
      <w:r w:rsidRPr="00081513">
        <w:rPr>
          <w:rFonts w:ascii="Arial" w:hAnsi="Arial" w:cs="Arial"/>
          <w:color w:val="000000" w:themeColor="text1"/>
          <w:sz w:val="20"/>
          <w:szCs w:val="20"/>
          <w:lang w:val="es-ES"/>
        </w:rPr>
        <w:t>.</w:t>
      </w:r>
    </w:p>
    <w:p w:rsidR="00081513" w:rsidRPr="00081513" w:rsidRDefault="00081513" w:rsidP="00081513">
      <w:pPr>
        <w:pStyle w:val="Textoindependiente3"/>
        <w:spacing w:after="0"/>
        <w:jc w:val="both"/>
        <w:rPr>
          <w:color w:val="000000" w:themeColor="text1"/>
        </w:rPr>
      </w:pPr>
      <w:r w:rsidRPr="00081513">
        <w:rPr>
          <w:rFonts w:ascii="Arial" w:hAnsi="Arial" w:cs="Arial"/>
          <w:color w:val="000000" w:themeColor="text1"/>
          <w:sz w:val="20"/>
          <w:szCs w:val="20"/>
          <w:lang w:val="es-ES"/>
        </w:rPr>
        <w:t> </w:t>
      </w:r>
    </w:p>
    <w:p w:rsidR="00081513" w:rsidRPr="00081513" w:rsidRDefault="00081513" w:rsidP="00081513">
      <w:pPr>
        <w:pStyle w:val="Textoindependiente3"/>
        <w:spacing w:after="0"/>
        <w:jc w:val="both"/>
        <w:rPr>
          <w:color w:val="000000" w:themeColor="text1"/>
        </w:rPr>
      </w:pPr>
      <w:r w:rsidRPr="00081513">
        <w:rPr>
          <w:rFonts w:ascii="Arial" w:hAnsi="Arial" w:cs="Arial"/>
          <w:color w:val="000000" w:themeColor="text1"/>
          <w:sz w:val="20"/>
          <w:szCs w:val="20"/>
          <w:lang w:val="es-ES"/>
        </w:rPr>
        <w:t>Si, por el contrario, el proceso ingresaba para fallo después del 1° de agosto de 2006, debían aplicarse las reglas de competencia de la Ley 446, pues, para esa fecha, la Ley</w:t>
      </w:r>
      <w:r w:rsidRPr="00081513">
        <w:rPr>
          <w:rStyle w:val="apple-converted-space"/>
          <w:rFonts w:ascii="Arial" w:hAnsi="Arial" w:cs="Arial"/>
          <w:color w:val="000000" w:themeColor="text1"/>
          <w:sz w:val="20"/>
          <w:szCs w:val="20"/>
          <w:lang w:val="es-ES"/>
        </w:rPr>
        <w:t> </w:t>
      </w:r>
      <w:r w:rsidRPr="00081513">
        <w:rPr>
          <w:rFonts w:ascii="Arial" w:hAnsi="Arial" w:cs="Arial"/>
          <w:color w:val="000000" w:themeColor="text1"/>
          <w:sz w:val="20"/>
          <w:szCs w:val="20"/>
          <w:lang w:val="es-ES"/>
        </w:rPr>
        <w:t>954, había perdido vigencia.</w:t>
      </w:r>
      <w:r w:rsidRPr="00081513">
        <w:rPr>
          <w:rStyle w:val="apple-converted-space"/>
          <w:rFonts w:ascii="Arial" w:hAnsi="Arial" w:cs="Arial"/>
          <w:color w:val="000000" w:themeColor="text1"/>
          <w:sz w:val="20"/>
          <w:szCs w:val="20"/>
          <w:lang w:val="es-ES"/>
        </w:rPr>
        <w:t> </w:t>
      </w:r>
      <w:r w:rsidRPr="00081513">
        <w:rPr>
          <w:rFonts w:ascii="Arial" w:hAnsi="Arial" w:cs="Arial"/>
          <w:color w:val="000000" w:themeColor="text1"/>
          <w:sz w:val="20"/>
          <w:szCs w:val="20"/>
          <w:lang w:val="es-ES"/>
        </w:rPr>
        <w:t>Es decir, si se trataba de procesos de carácter tributario con cuantía</w:t>
      </w:r>
      <w:r w:rsidRPr="00081513">
        <w:rPr>
          <w:rStyle w:val="apple-converted-space"/>
          <w:rFonts w:ascii="Arial" w:hAnsi="Arial" w:cs="Arial"/>
          <w:color w:val="000000" w:themeColor="text1"/>
          <w:sz w:val="20"/>
          <w:szCs w:val="20"/>
          <w:lang w:val="es-ES"/>
        </w:rPr>
        <w:t> </w:t>
      </w:r>
      <w:r w:rsidRPr="00081513">
        <w:rPr>
          <w:rFonts w:ascii="Arial" w:hAnsi="Arial" w:cs="Arial"/>
          <w:color w:val="000000" w:themeColor="text1"/>
          <w:sz w:val="20"/>
          <w:szCs w:val="20"/>
          <w:lang w:val="es-ES"/>
        </w:rPr>
        <w:t>igual o inferior a 300 salarios mínimos legales mensuales debían ser fallados por el juez administrativo competente, en primera instancia (art. 134B numeral 3 del Decreto 01 de 1984). Pero si se trataba de procesos con cuantía superior a 300 salarios mínimos debían ser fallados por el tribunal administrativo competente, en primera instancia (art. 132 numeral 3 del Decreto 01 de 1984).</w:t>
      </w:r>
    </w:p>
    <w:p w:rsidR="00081513" w:rsidRPr="00081513" w:rsidRDefault="00081513" w:rsidP="00081513">
      <w:pPr>
        <w:pStyle w:val="Textoindependiente3"/>
        <w:spacing w:after="0"/>
        <w:jc w:val="both"/>
        <w:rPr>
          <w:color w:val="000000" w:themeColor="text1"/>
        </w:rPr>
      </w:pPr>
      <w:r w:rsidRPr="00081513">
        <w:rPr>
          <w:rFonts w:ascii="Arial" w:hAnsi="Arial" w:cs="Arial"/>
          <w:color w:val="000000" w:themeColor="text1"/>
          <w:sz w:val="20"/>
          <w:szCs w:val="20"/>
          <w:lang w:val="es-ES"/>
        </w:rPr>
        <w:t> </w:t>
      </w:r>
    </w:p>
    <w:p w:rsidR="00081513" w:rsidRPr="00081513" w:rsidRDefault="00081513" w:rsidP="00081513">
      <w:pPr>
        <w:pStyle w:val="Textoindependiente3"/>
        <w:spacing w:after="0"/>
        <w:jc w:val="both"/>
        <w:rPr>
          <w:color w:val="000000" w:themeColor="text1"/>
        </w:rPr>
      </w:pPr>
      <w:r w:rsidRPr="00081513">
        <w:rPr>
          <w:rFonts w:ascii="Arial" w:hAnsi="Arial" w:cs="Arial"/>
          <w:color w:val="000000" w:themeColor="text1"/>
          <w:sz w:val="20"/>
          <w:szCs w:val="20"/>
          <w:lang w:val="es-ES"/>
        </w:rPr>
        <w:t>En el caso concreto, la cuantía del proceso es de $14.566.000. Esa suma, que fue determinada al momento de presentación de la demanda (5 de noviembre de 2002), no superaba los 300 salarios mínimos mensuales</w:t>
      </w:r>
      <w:bookmarkStart w:id="24" w:name="_ftnref23"/>
      <w:r w:rsidRPr="00081513">
        <w:rPr>
          <w:rStyle w:val="Refdenotaalpie"/>
          <w:rFonts w:ascii="Arial" w:hAnsi="Arial" w:cs="Arial"/>
          <w:color w:val="000000" w:themeColor="text1"/>
          <w:sz w:val="20"/>
          <w:szCs w:val="20"/>
          <w:u w:val="single"/>
          <w:vertAlign w:val="superscript"/>
          <w:lang w:val="es-ES"/>
        </w:rPr>
        <w:t>[23]</w:t>
      </w:r>
      <w:bookmarkEnd w:id="24"/>
      <w:r w:rsidRPr="00081513">
        <w:rPr>
          <w:rFonts w:ascii="Arial" w:hAnsi="Arial" w:cs="Arial"/>
          <w:color w:val="000000" w:themeColor="text1"/>
          <w:sz w:val="20"/>
          <w:szCs w:val="20"/>
          <w:lang w:val="es-ES"/>
        </w:rPr>
        <w:t>. Eso demuestra que, en principio, se trataba de un asunto de competencia de los juzgados administrativos. Sin embargo, el proceso se tramitó ante el Tribunal Administrativo de Antioquia, justamente porque esos juzgados no habían entrado en funcionamiento.</w:t>
      </w:r>
    </w:p>
    <w:p w:rsidR="00081513" w:rsidRPr="00081513" w:rsidRDefault="00081513" w:rsidP="00081513">
      <w:pPr>
        <w:pStyle w:val="Textoindependiente3"/>
        <w:spacing w:after="0"/>
        <w:jc w:val="both"/>
        <w:rPr>
          <w:color w:val="000000" w:themeColor="text1"/>
        </w:rPr>
      </w:pPr>
      <w:r w:rsidRPr="00081513">
        <w:rPr>
          <w:rFonts w:ascii="Arial" w:hAnsi="Arial" w:cs="Arial"/>
          <w:color w:val="000000" w:themeColor="text1"/>
          <w:sz w:val="20"/>
          <w:szCs w:val="20"/>
          <w:lang w:val="es-ES"/>
        </w:rPr>
        <w:t> </w:t>
      </w:r>
    </w:p>
    <w:p w:rsidR="00081513" w:rsidRPr="00081513" w:rsidRDefault="00081513" w:rsidP="00081513">
      <w:pPr>
        <w:pStyle w:val="Textoindependiente3"/>
        <w:spacing w:after="0"/>
        <w:jc w:val="both"/>
        <w:rPr>
          <w:color w:val="000000" w:themeColor="text1"/>
        </w:rPr>
      </w:pPr>
      <w:r w:rsidRPr="00081513">
        <w:rPr>
          <w:rFonts w:ascii="Arial" w:hAnsi="Arial" w:cs="Arial"/>
          <w:color w:val="000000" w:themeColor="text1"/>
          <w:sz w:val="20"/>
          <w:szCs w:val="20"/>
          <w:lang w:val="es-ES"/>
        </w:rPr>
        <w:t>El proceso se tramitó en el Tribunal Administrativo de Antioquia y en el año 2004, según se explicó en el acápite de antecedentes procesales, quedó en condiciones de ser fallado. Por lo tanto, conforme con el artículo 1º de la Ley 954, el proceso debía tramitarse en única instancia por el Tribunal Administrativo de Antioquia.</w:t>
      </w:r>
    </w:p>
    <w:p w:rsidR="00081513" w:rsidRPr="00081513" w:rsidRDefault="00081513" w:rsidP="00081513">
      <w:pPr>
        <w:pStyle w:val="Textoindependiente3"/>
        <w:spacing w:after="0"/>
        <w:jc w:val="both"/>
        <w:rPr>
          <w:color w:val="000000" w:themeColor="text1"/>
        </w:rPr>
      </w:pPr>
      <w:r w:rsidRPr="00081513">
        <w:rPr>
          <w:rFonts w:ascii="Arial" w:hAnsi="Arial" w:cs="Arial"/>
          <w:color w:val="000000" w:themeColor="text1"/>
          <w:sz w:val="20"/>
          <w:szCs w:val="20"/>
          <w:lang w:val="es-ES"/>
        </w:rPr>
        <w:t> </w:t>
      </w:r>
    </w:p>
    <w:p w:rsidR="00081513" w:rsidRPr="00081513" w:rsidRDefault="00081513" w:rsidP="00081513">
      <w:pPr>
        <w:pStyle w:val="Textoindependiente3"/>
        <w:spacing w:after="0"/>
        <w:jc w:val="both"/>
        <w:rPr>
          <w:color w:val="000000" w:themeColor="text1"/>
        </w:rPr>
      </w:pPr>
      <w:r w:rsidRPr="00081513">
        <w:rPr>
          <w:rFonts w:ascii="Arial" w:hAnsi="Arial" w:cs="Arial"/>
          <w:color w:val="000000" w:themeColor="text1"/>
          <w:sz w:val="20"/>
          <w:szCs w:val="20"/>
          <w:lang w:val="es-ES"/>
        </w:rPr>
        <w:t>En esas circunstancias, el proceso de nulidad y restablecimiento del derecho promovido por Manuel Enrique Álvarez Acevedo contra la DIAN no tiene vocación de doble instancia y, por tanto, el recurso de apelación interpuesto por la parte demandada era inadmisible.</w:t>
      </w:r>
    </w:p>
    <w:p w:rsidR="00081513" w:rsidRPr="00081513" w:rsidRDefault="00081513" w:rsidP="00081513">
      <w:pPr>
        <w:pStyle w:val="Textoindependiente3"/>
        <w:spacing w:after="0"/>
        <w:jc w:val="both"/>
        <w:rPr>
          <w:color w:val="000000" w:themeColor="text1"/>
        </w:rPr>
      </w:pPr>
      <w:r w:rsidRPr="00081513">
        <w:rPr>
          <w:rFonts w:ascii="Arial" w:hAnsi="Arial" w:cs="Arial"/>
          <w:color w:val="000000" w:themeColor="text1"/>
          <w:sz w:val="20"/>
          <w:szCs w:val="20"/>
          <w:lang w:val="es-ES"/>
        </w:rPr>
        <w:t> </w:t>
      </w:r>
    </w:p>
    <w:p w:rsidR="00081513" w:rsidRPr="00081513" w:rsidRDefault="00081513" w:rsidP="00081513">
      <w:pPr>
        <w:pStyle w:val="Textoindependiente3"/>
        <w:spacing w:after="0"/>
        <w:jc w:val="both"/>
        <w:rPr>
          <w:color w:val="000000" w:themeColor="text1"/>
        </w:rPr>
      </w:pPr>
      <w:r w:rsidRPr="00081513">
        <w:rPr>
          <w:rFonts w:ascii="Arial" w:hAnsi="Arial" w:cs="Arial"/>
          <w:color w:val="000000" w:themeColor="text1"/>
          <w:sz w:val="20"/>
          <w:szCs w:val="20"/>
          <w:lang w:val="es-ES"/>
        </w:rPr>
        <w:t>En vista de lo anterior, el despacho dejará sin valor y efecto los autos del 23 de octubre de 2014, mediante el que se admitió el recurso de apelación interpuesto por la DIAN contra la sentencia del 24 de noviembre de 2011, dictada por el Tribunal Administrativo de San Andrés, Providencia y Santa Catalina, y del 13 de mayo de 2015, que ordenó correr traslado a las partes para alegar de conclusión y al Ministerio Público para emitir concepto.</w:t>
      </w:r>
    </w:p>
    <w:p w:rsidR="00081513" w:rsidRPr="00081513" w:rsidRDefault="00081513" w:rsidP="00081513">
      <w:pPr>
        <w:pStyle w:val="Textoindependiente3"/>
        <w:spacing w:after="0"/>
        <w:jc w:val="both"/>
        <w:rPr>
          <w:color w:val="000000" w:themeColor="text1"/>
        </w:rPr>
      </w:pPr>
      <w:r w:rsidRPr="00081513">
        <w:rPr>
          <w:rFonts w:ascii="Arial" w:hAnsi="Arial" w:cs="Arial"/>
          <w:color w:val="000000" w:themeColor="text1"/>
          <w:sz w:val="20"/>
          <w:szCs w:val="20"/>
          <w:lang w:val="es-ES"/>
        </w:rPr>
        <w:t> </w:t>
      </w:r>
    </w:p>
    <w:p w:rsidR="00081513" w:rsidRPr="00081513" w:rsidRDefault="00081513" w:rsidP="00081513">
      <w:pPr>
        <w:pStyle w:val="Textoindependiente3"/>
        <w:spacing w:after="0"/>
        <w:jc w:val="both"/>
        <w:rPr>
          <w:color w:val="000000" w:themeColor="text1"/>
        </w:rPr>
      </w:pPr>
      <w:r w:rsidRPr="00081513">
        <w:rPr>
          <w:rFonts w:ascii="Arial" w:hAnsi="Arial" w:cs="Arial"/>
          <w:color w:val="000000" w:themeColor="text1"/>
          <w:sz w:val="20"/>
          <w:szCs w:val="20"/>
          <w:lang w:val="es-ES"/>
        </w:rPr>
        <w:t>RESUELVE</w:t>
      </w:r>
    </w:p>
    <w:p w:rsidR="00081513" w:rsidRPr="00081513" w:rsidRDefault="00081513" w:rsidP="00081513">
      <w:pPr>
        <w:pStyle w:val="Textoindependiente3"/>
        <w:spacing w:after="0"/>
        <w:jc w:val="both"/>
        <w:rPr>
          <w:color w:val="000000" w:themeColor="text1"/>
        </w:rPr>
      </w:pPr>
      <w:r w:rsidRPr="00081513">
        <w:rPr>
          <w:rFonts w:ascii="Arial" w:hAnsi="Arial" w:cs="Arial"/>
          <w:color w:val="000000" w:themeColor="text1"/>
          <w:sz w:val="20"/>
          <w:szCs w:val="20"/>
          <w:lang w:val="es-ES"/>
        </w:rPr>
        <w:t> </w:t>
      </w:r>
    </w:p>
    <w:p w:rsidR="00081513" w:rsidRPr="00081513" w:rsidRDefault="00081513" w:rsidP="00081513">
      <w:pPr>
        <w:pStyle w:val="Textoindependiente3"/>
        <w:spacing w:after="0"/>
        <w:jc w:val="both"/>
        <w:rPr>
          <w:color w:val="000000" w:themeColor="text1"/>
        </w:rPr>
      </w:pPr>
      <w:r w:rsidRPr="00081513">
        <w:rPr>
          <w:rFonts w:ascii="Arial" w:hAnsi="Arial" w:cs="Arial"/>
          <w:color w:val="000000" w:themeColor="text1"/>
          <w:sz w:val="20"/>
          <w:szCs w:val="20"/>
          <w:lang w:val="es-ES"/>
        </w:rPr>
        <w:t>PRIMERO: DECLÁRASE sin valor y efecto lo actuado ante esta Corporación en el proceso a partir del auto 23 de octubre de 2014, que admitió el recurso de apelación interpuesto por la DIAN contra la sentencia del 24 de noviembre de 2011, dictada por el Tribunal Administrativo de San Andrés, Providencia y Santa Catalina.</w:t>
      </w:r>
    </w:p>
    <w:p w:rsidR="00081513" w:rsidRPr="00081513" w:rsidRDefault="00081513" w:rsidP="00081513">
      <w:pPr>
        <w:pStyle w:val="Textoindependiente3"/>
        <w:spacing w:after="0"/>
        <w:jc w:val="both"/>
        <w:rPr>
          <w:color w:val="000000" w:themeColor="text1"/>
        </w:rPr>
      </w:pPr>
      <w:r w:rsidRPr="00081513">
        <w:rPr>
          <w:rFonts w:ascii="Arial" w:hAnsi="Arial" w:cs="Arial"/>
          <w:color w:val="000000" w:themeColor="text1"/>
          <w:sz w:val="20"/>
          <w:szCs w:val="20"/>
          <w:lang w:val="es-ES"/>
        </w:rPr>
        <w:t> </w:t>
      </w:r>
    </w:p>
    <w:p w:rsidR="00081513" w:rsidRPr="00081513" w:rsidRDefault="00081513" w:rsidP="00081513">
      <w:pPr>
        <w:pStyle w:val="Textoindependiente3"/>
        <w:spacing w:after="0"/>
        <w:jc w:val="both"/>
        <w:rPr>
          <w:color w:val="000000" w:themeColor="text1"/>
        </w:rPr>
      </w:pPr>
      <w:r w:rsidRPr="00081513">
        <w:rPr>
          <w:rFonts w:ascii="Arial" w:hAnsi="Arial" w:cs="Arial"/>
          <w:color w:val="000000" w:themeColor="text1"/>
          <w:sz w:val="20"/>
          <w:szCs w:val="20"/>
          <w:lang w:val="es-ES"/>
        </w:rPr>
        <w:t>SEGUNDO: en consecuencia, DECLÁRASE ejecutoriada la sentencia del 24 de noviembre de 2011, dictada por el Tribunal Administrativo de San Andrés, Providencia y Santa Catalina en el proceso de nulidad y restablecimiento del derecho promovido por Manuel Enrique Álvarez Acevedo contra la DIAN.</w:t>
      </w:r>
    </w:p>
    <w:p w:rsidR="00081513" w:rsidRPr="00081513" w:rsidRDefault="00081513" w:rsidP="00081513">
      <w:pPr>
        <w:pStyle w:val="Textoindependiente3"/>
        <w:spacing w:after="0"/>
        <w:jc w:val="both"/>
        <w:rPr>
          <w:color w:val="000000" w:themeColor="text1"/>
        </w:rPr>
      </w:pPr>
      <w:r w:rsidRPr="00081513">
        <w:rPr>
          <w:rFonts w:ascii="Arial" w:hAnsi="Arial" w:cs="Arial"/>
          <w:color w:val="000000" w:themeColor="text1"/>
          <w:sz w:val="20"/>
          <w:szCs w:val="20"/>
          <w:lang w:val="es-ES"/>
        </w:rPr>
        <w:t> </w:t>
      </w:r>
    </w:p>
    <w:p w:rsidR="00081513" w:rsidRPr="00081513" w:rsidRDefault="00081513" w:rsidP="00081513">
      <w:pPr>
        <w:pStyle w:val="Textoindependiente3"/>
        <w:spacing w:after="0"/>
        <w:jc w:val="both"/>
        <w:rPr>
          <w:color w:val="000000" w:themeColor="text1"/>
        </w:rPr>
      </w:pPr>
      <w:r w:rsidRPr="00081513">
        <w:rPr>
          <w:rFonts w:ascii="Arial" w:hAnsi="Arial" w:cs="Arial"/>
          <w:color w:val="000000" w:themeColor="text1"/>
          <w:sz w:val="20"/>
          <w:szCs w:val="20"/>
          <w:lang w:val="es-ES"/>
        </w:rPr>
        <w:t>TERCERO: DEVUÉLVASE el expediente al tribunal de origen.</w:t>
      </w:r>
    </w:p>
    <w:p w:rsidR="00081513" w:rsidRPr="00081513" w:rsidRDefault="00081513" w:rsidP="00081513">
      <w:pPr>
        <w:pStyle w:val="Textoindependiente3"/>
        <w:spacing w:after="0"/>
        <w:jc w:val="both"/>
        <w:rPr>
          <w:color w:val="000000" w:themeColor="text1"/>
        </w:rPr>
      </w:pPr>
      <w:r w:rsidRPr="00081513">
        <w:rPr>
          <w:rFonts w:ascii="Arial" w:hAnsi="Arial" w:cs="Arial"/>
          <w:color w:val="000000" w:themeColor="text1"/>
          <w:sz w:val="20"/>
          <w:szCs w:val="20"/>
          <w:lang w:val="es-ES"/>
        </w:rPr>
        <w:t> </w:t>
      </w:r>
    </w:p>
    <w:p w:rsidR="00081513" w:rsidRPr="00081513" w:rsidRDefault="00081513" w:rsidP="00081513">
      <w:pPr>
        <w:pStyle w:val="Textoindependiente3"/>
        <w:spacing w:after="0"/>
        <w:jc w:val="both"/>
        <w:rPr>
          <w:color w:val="000000" w:themeColor="text1"/>
        </w:rPr>
      </w:pPr>
      <w:r w:rsidRPr="00081513">
        <w:rPr>
          <w:rFonts w:ascii="Arial" w:hAnsi="Arial" w:cs="Arial"/>
          <w:color w:val="000000" w:themeColor="text1"/>
          <w:sz w:val="20"/>
          <w:szCs w:val="20"/>
          <w:lang w:val="es-ES"/>
        </w:rPr>
        <w:t> </w:t>
      </w:r>
    </w:p>
    <w:p w:rsidR="00081513" w:rsidRPr="00081513" w:rsidRDefault="00081513" w:rsidP="00081513">
      <w:pPr>
        <w:pStyle w:val="Textoindependiente3"/>
        <w:spacing w:after="0"/>
        <w:jc w:val="both"/>
        <w:rPr>
          <w:color w:val="000000" w:themeColor="text1"/>
        </w:rPr>
      </w:pPr>
      <w:r w:rsidRPr="00081513">
        <w:rPr>
          <w:rFonts w:ascii="Arial" w:hAnsi="Arial" w:cs="Arial"/>
          <w:color w:val="000000" w:themeColor="text1"/>
          <w:sz w:val="20"/>
          <w:szCs w:val="20"/>
          <w:lang w:val="es-ES"/>
        </w:rPr>
        <w:t> </w:t>
      </w:r>
    </w:p>
    <w:p w:rsidR="00081513" w:rsidRPr="00081513" w:rsidRDefault="00081513" w:rsidP="00081513">
      <w:pPr>
        <w:pStyle w:val="Textoindependiente3"/>
        <w:spacing w:after="0"/>
        <w:jc w:val="both"/>
        <w:rPr>
          <w:color w:val="000000" w:themeColor="text1"/>
        </w:rPr>
      </w:pPr>
      <w:r w:rsidRPr="00081513">
        <w:rPr>
          <w:rFonts w:ascii="Arial" w:hAnsi="Arial" w:cs="Arial"/>
          <w:color w:val="000000" w:themeColor="text1"/>
          <w:sz w:val="20"/>
          <w:szCs w:val="20"/>
          <w:lang w:val="es-ES"/>
        </w:rPr>
        <w:lastRenderedPageBreak/>
        <w:t>Notifíquese y cúmplase</w:t>
      </w:r>
    </w:p>
    <w:p w:rsidR="00081513" w:rsidRPr="00081513" w:rsidRDefault="00081513" w:rsidP="00081513">
      <w:pPr>
        <w:pStyle w:val="Textoindependiente3"/>
        <w:spacing w:after="0"/>
        <w:jc w:val="both"/>
        <w:rPr>
          <w:color w:val="000000" w:themeColor="text1"/>
        </w:rPr>
      </w:pPr>
      <w:r w:rsidRPr="00081513">
        <w:rPr>
          <w:rFonts w:ascii="Arial" w:hAnsi="Arial" w:cs="Arial"/>
          <w:color w:val="000000" w:themeColor="text1"/>
          <w:sz w:val="20"/>
          <w:szCs w:val="20"/>
          <w:lang w:val="es-ES"/>
        </w:rPr>
        <w:t> </w:t>
      </w:r>
    </w:p>
    <w:p w:rsidR="00081513" w:rsidRPr="00081513" w:rsidRDefault="00081513" w:rsidP="00081513">
      <w:pPr>
        <w:pStyle w:val="Textoindependiente3"/>
        <w:spacing w:after="0"/>
        <w:jc w:val="both"/>
        <w:rPr>
          <w:color w:val="000000" w:themeColor="text1"/>
        </w:rPr>
      </w:pPr>
      <w:r w:rsidRPr="00081513">
        <w:rPr>
          <w:rFonts w:ascii="Arial" w:hAnsi="Arial" w:cs="Arial"/>
          <w:color w:val="000000" w:themeColor="text1"/>
          <w:sz w:val="20"/>
          <w:szCs w:val="20"/>
          <w:lang w:val="es-ES"/>
        </w:rPr>
        <w:t> </w:t>
      </w:r>
    </w:p>
    <w:p w:rsidR="00081513" w:rsidRPr="00081513" w:rsidRDefault="00081513" w:rsidP="00081513">
      <w:pPr>
        <w:pStyle w:val="Textoindependiente3"/>
        <w:spacing w:after="0"/>
        <w:jc w:val="both"/>
        <w:rPr>
          <w:color w:val="000000" w:themeColor="text1"/>
        </w:rPr>
      </w:pPr>
      <w:r w:rsidRPr="00081513">
        <w:rPr>
          <w:rFonts w:ascii="Arial" w:hAnsi="Arial" w:cs="Arial"/>
          <w:color w:val="000000" w:themeColor="text1"/>
          <w:sz w:val="20"/>
          <w:szCs w:val="20"/>
          <w:lang w:val="es-ES"/>
        </w:rPr>
        <w:t> </w:t>
      </w:r>
    </w:p>
    <w:p w:rsidR="00081513" w:rsidRPr="00081513" w:rsidRDefault="00081513" w:rsidP="00081513">
      <w:pPr>
        <w:pStyle w:val="Textoindependiente3"/>
        <w:spacing w:after="0"/>
        <w:jc w:val="both"/>
        <w:rPr>
          <w:color w:val="000000" w:themeColor="text1"/>
        </w:rPr>
      </w:pPr>
      <w:r w:rsidRPr="00081513">
        <w:rPr>
          <w:rFonts w:ascii="Arial" w:hAnsi="Arial" w:cs="Arial"/>
          <w:color w:val="000000" w:themeColor="text1"/>
          <w:sz w:val="20"/>
          <w:szCs w:val="20"/>
          <w:lang w:val="es-ES"/>
        </w:rPr>
        <w:t> </w:t>
      </w:r>
    </w:p>
    <w:p w:rsidR="00081513" w:rsidRPr="00081513" w:rsidRDefault="00081513" w:rsidP="00081513">
      <w:pPr>
        <w:pStyle w:val="Textoindependiente3"/>
        <w:spacing w:after="0"/>
        <w:jc w:val="both"/>
        <w:rPr>
          <w:color w:val="000000" w:themeColor="text1"/>
        </w:rPr>
      </w:pPr>
      <w:r w:rsidRPr="00081513">
        <w:rPr>
          <w:rFonts w:ascii="Arial" w:hAnsi="Arial" w:cs="Arial"/>
          <w:b/>
          <w:bCs/>
          <w:color w:val="000000" w:themeColor="text1"/>
          <w:sz w:val="20"/>
          <w:szCs w:val="20"/>
          <w:lang w:val="es-ES"/>
        </w:rPr>
        <w:t> </w:t>
      </w:r>
    </w:p>
    <w:p w:rsidR="00081513" w:rsidRPr="00081513" w:rsidRDefault="00081513" w:rsidP="00081513">
      <w:pPr>
        <w:pStyle w:val="Textoindependiente3"/>
        <w:spacing w:after="0"/>
        <w:jc w:val="both"/>
        <w:rPr>
          <w:color w:val="000000" w:themeColor="text1"/>
        </w:rPr>
      </w:pPr>
      <w:r w:rsidRPr="00081513">
        <w:rPr>
          <w:rFonts w:ascii="Arial" w:hAnsi="Arial" w:cs="Arial"/>
          <w:b/>
          <w:bCs/>
          <w:color w:val="000000" w:themeColor="text1"/>
          <w:sz w:val="20"/>
          <w:szCs w:val="20"/>
          <w:lang w:val="es-ES"/>
        </w:rPr>
        <w:t>HUGO FERNANDO BASTIDAS BÁRCENAS</w:t>
      </w:r>
    </w:p>
    <w:p w:rsidR="00081513" w:rsidRPr="00081513" w:rsidRDefault="00081513" w:rsidP="00081513">
      <w:pPr>
        <w:jc w:val="both"/>
        <w:rPr>
          <w:rFonts w:ascii="Calibri" w:hAnsi="Calibri"/>
          <w:color w:val="000000" w:themeColor="text1"/>
        </w:rPr>
      </w:pPr>
      <w:r w:rsidRPr="00081513">
        <w:rPr>
          <w:rFonts w:ascii="Arial" w:hAnsi="Arial" w:cs="Arial"/>
          <w:color w:val="000000" w:themeColor="text1"/>
          <w:sz w:val="20"/>
          <w:szCs w:val="20"/>
        </w:rPr>
        <w:t> </w:t>
      </w:r>
    </w:p>
    <w:p w:rsidR="00081513" w:rsidRPr="00081513" w:rsidRDefault="00081513" w:rsidP="00081513">
      <w:pPr>
        <w:jc w:val="both"/>
        <w:rPr>
          <w:rFonts w:ascii="Calibri" w:hAnsi="Calibri"/>
          <w:color w:val="000000" w:themeColor="text1"/>
        </w:rPr>
      </w:pPr>
      <w:r w:rsidRPr="00081513">
        <w:rPr>
          <w:rFonts w:ascii="Arial" w:hAnsi="Arial" w:cs="Arial"/>
          <w:color w:val="000000" w:themeColor="text1"/>
          <w:sz w:val="20"/>
          <w:szCs w:val="20"/>
        </w:rPr>
        <w:t> </w:t>
      </w:r>
    </w:p>
    <w:p w:rsidR="00081513" w:rsidRPr="00081513" w:rsidRDefault="00081513" w:rsidP="00081513">
      <w:pPr>
        <w:jc w:val="both"/>
        <w:rPr>
          <w:rFonts w:ascii="Calibri" w:hAnsi="Calibri"/>
          <w:color w:val="000000" w:themeColor="text1"/>
        </w:rPr>
      </w:pPr>
      <w:r w:rsidRPr="00081513">
        <w:rPr>
          <w:rFonts w:ascii="Arial" w:hAnsi="Arial" w:cs="Arial"/>
          <w:color w:val="000000" w:themeColor="text1"/>
          <w:sz w:val="20"/>
          <w:szCs w:val="20"/>
        </w:rPr>
        <w:t> </w:t>
      </w:r>
    </w:p>
    <w:p w:rsidR="00081513" w:rsidRPr="00081513" w:rsidRDefault="00081513" w:rsidP="00081513">
      <w:pPr>
        <w:jc w:val="both"/>
        <w:rPr>
          <w:rFonts w:ascii="Calibri" w:hAnsi="Calibri"/>
          <w:color w:val="000000" w:themeColor="text1"/>
        </w:rPr>
      </w:pPr>
      <w:r w:rsidRPr="00081513">
        <w:rPr>
          <w:rFonts w:ascii="Arial" w:hAnsi="Arial" w:cs="Arial"/>
          <w:color w:val="000000" w:themeColor="text1"/>
          <w:sz w:val="20"/>
          <w:szCs w:val="20"/>
        </w:rPr>
        <w:t> </w:t>
      </w:r>
    </w:p>
    <w:p w:rsidR="00081513" w:rsidRPr="00081513" w:rsidRDefault="00081513" w:rsidP="00081513">
      <w:pPr>
        <w:jc w:val="both"/>
        <w:rPr>
          <w:rFonts w:ascii="Calibri" w:hAnsi="Calibri"/>
          <w:color w:val="000000" w:themeColor="text1"/>
        </w:rPr>
      </w:pPr>
      <w:r w:rsidRPr="00081513">
        <w:rPr>
          <w:rFonts w:ascii="Arial" w:hAnsi="Arial" w:cs="Arial"/>
          <w:color w:val="000000" w:themeColor="text1"/>
          <w:sz w:val="20"/>
          <w:szCs w:val="20"/>
        </w:rPr>
        <w:t> </w:t>
      </w:r>
    </w:p>
    <w:p w:rsidR="00081513" w:rsidRPr="00081513" w:rsidRDefault="00081513" w:rsidP="00081513">
      <w:pPr>
        <w:jc w:val="both"/>
        <w:rPr>
          <w:rFonts w:ascii="Calibri" w:hAnsi="Calibri"/>
          <w:color w:val="000000" w:themeColor="text1"/>
        </w:rPr>
      </w:pPr>
      <w:r w:rsidRPr="00081513">
        <w:rPr>
          <w:rFonts w:ascii="Arial" w:hAnsi="Arial" w:cs="Arial"/>
          <w:color w:val="000000" w:themeColor="text1"/>
          <w:sz w:val="20"/>
          <w:szCs w:val="20"/>
        </w:rPr>
        <w:t> </w:t>
      </w:r>
    </w:p>
    <w:p w:rsidR="00081513" w:rsidRPr="00081513" w:rsidRDefault="00081513" w:rsidP="00081513">
      <w:pPr>
        <w:rPr>
          <w:rFonts w:ascii="Times New Roman" w:hAnsi="Times New Roman"/>
          <w:color w:val="000000" w:themeColor="text1"/>
          <w:sz w:val="27"/>
          <w:szCs w:val="27"/>
        </w:rPr>
      </w:pPr>
      <w:r w:rsidRPr="00081513">
        <w:rPr>
          <w:color w:val="000000" w:themeColor="text1"/>
          <w:sz w:val="27"/>
          <w:szCs w:val="27"/>
        </w:rPr>
        <w:br w:type="textWrapping" w:clear="all"/>
      </w:r>
    </w:p>
    <w:p w:rsidR="00081513" w:rsidRPr="00081513" w:rsidRDefault="00081513" w:rsidP="00081513">
      <w:pPr>
        <w:rPr>
          <w:color w:val="000000" w:themeColor="text1"/>
          <w:sz w:val="27"/>
          <w:szCs w:val="27"/>
        </w:rPr>
      </w:pPr>
      <w:r w:rsidRPr="00081513">
        <w:rPr>
          <w:color w:val="000000" w:themeColor="text1"/>
          <w:sz w:val="27"/>
          <w:szCs w:val="27"/>
        </w:rPr>
        <w:pict>
          <v:rect id="_x0000_i1025" style="width:145.85pt;height:.75pt" o:hrpct="330" o:hrstd="t" o:hr="t" fillcolor="#a0a0a0" stroked="f"/>
        </w:pict>
      </w:r>
    </w:p>
    <w:p w:rsidR="00081513" w:rsidRPr="00081513" w:rsidRDefault="00081513" w:rsidP="00081513">
      <w:pPr>
        <w:pStyle w:val="Textonotapie"/>
        <w:spacing w:before="0" w:beforeAutospacing="0" w:after="0" w:afterAutospacing="0"/>
        <w:ind w:left="708" w:hanging="708"/>
        <w:rPr>
          <w:color w:val="000000" w:themeColor="text1"/>
          <w:sz w:val="20"/>
          <w:szCs w:val="20"/>
        </w:rPr>
      </w:pPr>
      <w:bookmarkStart w:id="25" w:name="_ftn1"/>
      <w:r w:rsidRPr="00081513">
        <w:rPr>
          <w:rStyle w:val="Refdenotaalpie"/>
          <w:rFonts w:ascii="Arial" w:hAnsi="Arial" w:cs="Arial"/>
          <w:color w:val="000000" w:themeColor="text1"/>
          <w:sz w:val="18"/>
          <w:szCs w:val="18"/>
          <w:u w:val="single"/>
          <w:vertAlign w:val="superscript"/>
          <w:lang w:val="es-ES"/>
        </w:rPr>
        <w:t>[1]</w:t>
      </w:r>
      <w:bookmarkEnd w:id="25"/>
      <w:r w:rsidRPr="00081513">
        <w:rPr>
          <w:rStyle w:val="apple-converted-space"/>
          <w:rFonts w:ascii="Arial" w:hAnsi="Arial" w:cs="Arial"/>
          <w:color w:val="000000" w:themeColor="text1"/>
          <w:sz w:val="18"/>
          <w:szCs w:val="18"/>
          <w:lang w:val="es-ES"/>
        </w:rPr>
        <w:t> </w:t>
      </w:r>
      <w:r w:rsidRPr="00081513">
        <w:rPr>
          <w:rFonts w:ascii="Arial" w:hAnsi="Arial" w:cs="Arial"/>
          <w:color w:val="000000" w:themeColor="text1"/>
          <w:sz w:val="18"/>
          <w:szCs w:val="18"/>
        </w:rPr>
        <w:t xml:space="preserve">Folio 204 del </w:t>
      </w:r>
      <w:proofErr w:type="spellStart"/>
      <w:r w:rsidRPr="00081513">
        <w:rPr>
          <w:rFonts w:ascii="Arial" w:hAnsi="Arial" w:cs="Arial"/>
          <w:color w:val="000000" w:themeColor="text1"/>
          <w:sz w:val="18"/>
          <w:szCs w:val="18"/>
        </w:rPr>
        <w:t>CAA</w:t>
      </w:r>
      <w:proofErr w:type="spellEnd"/>
      <w:r w:rsidRPr="00081513">
        <w:rPr>
          <w:rFonts w:ascii="Arial" w:hAnsi="Arial" w:cs="Arial"/>
          <w:color w:val="000000" w:themeColor="text1"/>
          <w:sz w:val="18"/>
          <w:szCs w:val="18"/>
        </w:rPr>
        <w:t xml:space="preserve"> –Cuaderno de Antecedentes Administrativos.</w:t>
      </w:r>
    </w:p>
    <w:p w:rsidR="00081513" w:rsidRPr="00081513" w:rsidRDefault="00081513" w:rsidP="00081513">
      <w:pPr>
        <w:pStyle w:val="Textonotapie"/>
        <w:spacing w:before="0" w:beforeAutospacing="0" w:after="0" w:afterAutospacing="0"/>
        <w:rPr>
          <w:color w:val="000000" w:themeColor="text1"/>
          <w:sz w:val="20"/>
          <w:szCs w:val="20"/>
        </w:rPr>
      </w:pPr>
      <w:bookmarkStart w:id="26" w:name="_ftn2"/>
      <w:r w:rsidRPr="00081513">
        <w:rPr>
          <w:rStyle w:val="Refdenotaalpie"/>
          <w:rFonts w:ascii="Arial" w:hAnsi="Arial" w:cs="Arial"/>
          <w:color w:val="000000" w:themeColor="text1"/>
          <w:sz w:val="18"/>
          <w:szCs w:val="18"/>
          <w:u w:val="single"/>
          <w:vertAlign w:val="superscript"/>
          <w:lang w:val="es-ES"/>
        </w:rPr>
        <w:t>[2]</w:t>
      </w:r>
      <w:bookmarkEnd w:id="26"/>
      <w:r w:rsidRPr="00081513">
        <w:rPr>
          <w:rStyle w:val="apple-converted-space"/>
          <w:rFonts w:ascii="Arial" w:hAnsi="Arial" w:cs="Arial"/>
          <w:color w:val="000000" w:themeColor="text1"/>
          <w:sz w:val="18"/>
          <w:szCs w:val="18"/>
          <w:lang w:val="es-ES"/>
        </w:rPr>
        <w:t> </w:t>
      </w:r>
      <w:r w:rsidRPr="00081513">
        <w:rPr>
          <w:rFonts w:ascii="Arial" w:hAnsi="Arial" w:cs="Arial"/>
          <w:color w:val="000000" w:themeColor="text1"/>
          <w:sz w:val="18"/>
          <w:szCs w:val="18"/>
        </w:rPr>
        <w:t xml:space="preserve">Folios 192 al 196 del </w:t>
      </w:r>
      <w:proofErr w:type="spellStart"/>
      <w:r w:rsidRPr="00081513">
        <w:rPr>
          <w:rFonts w:ascii="Arial" w:hAnsi="Arial" w:cs="Arial"/>
          <w:color w:val="000000" w:themeColor="text1"/>
          <w:sz w:val="18"/>
          <w:szCs w:val="18"/>
        </w:rPr>
        <w:t>CAA</w:t>
      </w:r>
      <w:proofErr w:type="spellEnd"/>
      <w:r w:rsidRPr="00081513">
        <w:rPr>
          <w:rFonts w:ascii="Arial" w:hAnsi="Arial" w:cs="Arial"/>
          <w:color w:val="000000" w:themeColor="text1"/>
          <w:sz w:val="18"/>
          <w:szCs w:val="18"/>
        </w:rPr>
        <w:t>.</w:t>
      </w:r>
    </w:p>
    <w:p w:rsidR="00081513" w:rsidRPr="00081513" w:rsidRDefault="00081513" w:rsidP="00081513">
      <w:pPr>
        <w:pStyle w:val="Textonotapie"/>
        <w:spacing w:before="0" w:beforeAutospacing="0" w:after="0" w:afterAutospacing="0"/>
        <w:rPr>
          <w:color w:val="000000" w:themeColor="text1"/>
          <w:sz w:val="20"/>
          <w:szCs w:val="20"/>
        </w:rPr>
      </w:pPr>
      <w:bookmarkStart w:id="27" w:name="_ftn3"/>
      <w:r w:rsidRPr="00081513">
        <w:rPr>
          <w:rStyle w:val="Refdenotaalpie"/>
          <w:rFonts w:ascii="Arial" w:hAnsi="Arial" w:cs="Arial"/>
          <w:color w:val="000000" w:themeColor="text1"/>
          <w:sz w:val="18"/>
          <w:szCs w:val="18"/>
          <w:u w:val="single"/>
          <w:vertAlign w:val="superscript"/>
          <w:lang w:val="es-ES"/>
        </w:rPr>
        <w:t>[3]</w:t>
      </w:r>
      <w:bookmarkEnd w:id="27"/>
      <w:r w:rsidRPr="00081513">
        <w:rPr>
          <w:rStyle w:val="apple-converted-space"/>
          <w:rFonts w:ascii="Arial" w:hAnsi="Arial" w:cs="Arial"/>
          <w:color w:val="000000" w:themeColor="text1"/>
          <w:sz w:val="18"/>
          <w:szCs w:val="18"/>
          <w:lang w:val="es-ES"/>
        </w:rPr>
        <w:t> </w:t>
      </w:r>
      <w:r w:rsidRPr="00081513">
        <w:rPr>
          <w:rFonts w:ascii="Arial" w:hAnsi="Arial" w:cs="Arial"/>
          <w:color w:val="000000" w:themeColor="text1"/>
          <w:sz w:val="18"/>
          <w:szCs w:val="18"/>
        </w:rPr>
        <w:t xml:space="preserve">Folios 80 al 88 del </w:t>
      </w:r>
      <w:proofErr w:type="spellStart"/>
      <w:r w:rsidRPr="00081513">
        <w:rPr>
          <w:rFonts w:ascii="Arial" w:hAnsi="Arial" w:cs="Arial"/>
          <w:color w:val="000000" w:themeColor="text1"/>
          <w:sz w:val="18"/>
          <w:szCs w:val="18"/>
        </w:rPr>
        <w:t>CAA</w:t>
      </w:r>
      <w:proofErr w:type="spellEnd"/>
      <w:r w:rsidRPr="00081513">
        <w:rPr>
          <w:rFonts w:ascii="Arial" w:hAnsi="Arial" w:cs="Arial"/>
          <w:color w:val="000000" w:themeColor="text1"/>
          <w:sz w:val="18"/>
          <w:szCs w:val="18"/>
        </w:rPr>
        <w:t>.</w:t>
      </w:r>
    </w:p>
    <w:p w:rsidR="00081513" w:rsidRPr="00081513" w:rsidRDefault="00081513" w:rsidP="00081513">
      <w:pPr>
        <w:pStyle w:val="Textonotapie"/>
        <w:spacing w:before="0" w:beforeAutospacing="0" w:after="0" w:afterAutospacing="0"/>
        <w:rPr>
          <w:color w:val="000000" w:themeColor="text1"/>
          <w:sz w:val="20"/>
          <w:szCs w:val="20"/>
        </w:rPr>
      </w:pPr>
      <w:bookmarkStart w:id="28" w:name="_ftn4"/>
      <w:r w:rsidRPr="00081513">
        <w:rPr>
          <w:rStyle w:val="Refdenotaalpie"/>
          <w:rFonts w:ascii="Arial" w:hAnsi="Arial" w:cs="Arial"/>
          <w:color w:val="000000" w:themeColor="text1"/>
          <w:sz w:val="18"/>
          <w:szCs w:val="18"/>
          <w:u w:val="single"/>
          <w:vertAlign w:val="superscript"/>
          <w:lang w:val="es-ES"/>
        </w:rPr>
        <w:t>[4]</w:t>
      </w:r>
      <w:bookmarkEnd w:id="28"/>
      <w:r w:rsidRPr="00081513">
        <w:rPr>
          <w:rStyle w:val="apple-converted-space"/>
          <w:rFonts w:ascii="Arial" w:hAnsi="Arial" w:cs="Arial"/>
          <w:color w:val="000000" w:themeColor="text1"/>
          <w:sz w:val="18"/>
          <w:szCs w:val="18"/>
          <w:lang w:val="es-ES"/>
        </w:rPr>
        <w:t> </w:t>
      </w:r>
      <w:r w:rsidRPr="00081513">
        <w:rPr>
          <w:rFonts w:ascii="Arial" w:hAnsi="Arial" w:cs="Arial"/>
          <w:color w:val="000000" w:themeColor="text1"/>
          <w:sz w:val="18"/>
          <w:szCs w:val="18"/>
        </w:rPr>
        <w:t xml:space="preserve">Folios 4 al 18 del </w:t>
      </w:r>
      <w:proofErr w:type="spellStart"/>
      <w:r w:rsidRPr="00081513">
        <w:rPr>
          <w:rFonts w:ascii="Arial" w:hAnsi="Arial" w:cs="Arial"/>
          <w:color w:val="000000" w:themeColor="text1"/>
          <w:sz w:val="18"/>
          <w:szCs w:val="18"/>
        </w:rPr>
        <w:t>CAA</w:t>
      </w:r>
      <w:proofErr w:type="spellEnd"/>
      <w:r w:rsidRPr="00081513">
        <w:rPr>
          <w:rFonts w:ascii="Arial" w:hAnsi="Arial" w:cs="Arial"/>
          <w:color w:val="000000" w:themeColor="text1"/>
          <w:sz w:val="18"/>
          <w:szCs w:val="18"/>
        </w:rPr>
        <w:t>.</w:t>
      </w:r>
    </w:p>
    <w:p w:rsidR="00081513" w:rsidRPr="00081513" w:rsidRDefault="00081513" w:rsidP="00081513">
      <w:pPr>
        <w:pStyle w:val="Textonotapie"/>
        <w:spacing w:before="0" w:beforeAutospacing="0" w:after="0" w:afterAutospacing="0"/>
        <w:rPr>
          <w:color w:val="000000" w:themeColor="text1"/>
          <w:sz w:val="20"/>
          <w:szCs w:val="20"/>
        </w:rPr>
      </w:pPr>
      <w:bookmarkStart w:id="29" w:name="_ftn5"/>
      <w:r w:rsidRPr="00081513">
        <w:rPr>
          <w:rStyle w:val="Refdenotaalpie"/>
          <w:rFonts w:ascii="Arial" w:hAnsi="Arial" w:cs="Arial"/>
          <w:color w:val="000000" w:themeColor="text1"/>
          <w:sz w:val="18"/>
          <w:szCs w:val="18"/>
          <w:u w:val="single"/>
          <w:vertAlign w:val="superscript"/>
          <w:lang w:val="es-ES"/>
        </w:rPr>
        <w:t>[5]</w:t>
      </w:r>
      <w:bookmarkEnd w:id="29"/>
      <w:r w:rsidRPr="00081513">
        <w:rPr>
          <w:rStyle w:val="apple-converted-space"/>
          <w:rFonts w:ascii="Arial" w:hAnsi="Arial" w:cs="Arial"/>
          <w:color w:val="000000" w:themeColor="text1"/>
          <w:sz w:val="18"/>
          <w:szCs w:val="18"/>
          <w:lang w:val="es-ES"/>
        </w:rPr>
        <w:t> </w:t>
      </w:r>
      <w:r w:rsidRPr="00081513">
        <w:rPr>
          <w:rFonts w:ascii="Arial" w:hAnsi="Arial" w:cs="Arial"/>
          <w:color w:val="000000" w:themeColor="text1"/>
          <w:sz w:val="18"/>
          <w:szCs w:val="18"/>
        </w:rPr>
        <w:t xml:space="preserve">Folios 21 al 28 del </w:t>
      </w:r>
      <w:proofErr w:type="spellStart"/>
      <w:r w:rsidRPr="00081513">
        <w:rPr>
          <w:rFonts w:ascii="Arial" w:hAnsi="Arial" w:cs="Arial"/>
          <w:color w:val="000000" w:themeColor="text1"/>
          <w:sz w:val="18"/>
          <w:szCs w:val="18"/>
        </w:rPr>
        <w:t>CAA</w:t>
      </w:r>
      <w:proofErr w:type="spellEnd"/>
      <w:r w:rsidRPr="00081513">
        <w:rPr>
          <w:rFonts w:ascii="Arial" w:hAnsi="Arial" w:cs="Arial"/>
          <w:color w:val="000000" w:themeColor="text1"/>
          <w:sz w:val="18"/>
          <w:szCs w:val="18"/>
        </w:rPr>
        <w:t>.</w:t>
      </w:r>
    </w:p>
    <w:p w:rsidR="00081513" w:rsidRPr="00081513" w:rsidRDefault="00081513" w:rsidP="00081513">
      <w:pPr>
        <w:pStyle w:val="Textonotapie"/>
        <w:spacing w:before="0" w:beforeAutospacing="0" w:after="0" w:afterAutospacing="0"/>
        <w:rPr>
          <w:color w:val="000000" w:themeColor="text1"/>
          <w:sz w:val="20"/>
          <w:szCs w:val="20"/>
        </w:rPr>
      </w:pPr>
      <w:bookmarkStart w:id="30" w:name="_ftn6"/>
      <w:r w:rsidRPr="00081513">
        <w:rPr>
          <w:rStyle w:val="Refdenotaalpie"/>
          <w:rFonts w:ascii="Arial" w:hAnsi="Arial" w:cs="Arial"/>
          <w:color w:val="000000" w:themeColor="text1"/>
          <w:sz w:val="18"/>
          <w:szCs w:val="18"/>
          <w:u w:val="single"/>
          <w:vertAlign w:val="superscript"/>
          <w:lang w:val="es-ES"/>
        </w:rPr>
        <w:t>[6]</w:t>
      </w:r>
      <w:bookmarkEnd w:id="30"/>
      <w:r w:rsidRPr="00081513">
        <w:rPr>
          <w:rStyle w:val="apple-converted-space"/>
          <w:rFonts w:ascii="Arial" w:hAnsi="Arial" w:cs="Arial"/>
          <w:color w:val="000000" w:themeColor="text1"/>
          <w:sz w:val="18"/>
          <w:szCs w:val="18"/>
          <w:lang w:val="es-ES"/>
        </w:rPr>
        <w:t> </w:t>
      </w:r>
      <w:r w:rsidRPr="00081513">
        <w:rPr>
          <w:rFonts w:ascii="Arial" w:hAnsi="Arial" w:cs="Arial"/>
          <w:color w:val="000000" w:themeColor="text1"/>
          <w:sz w:val="18"/>
          <w:szCs w:val="18"/>
          <w:lang w:val="es-ES_tradnl"/>
        </w:rPr>
        <w:t>La demanda fue corregida el 22 de noviembre de 2002. El proceso está regulado por el Decreto 01 de 1984.</w:t>
      </w:r>
    </w:p>
    <w:p w:rsidR="00081513" w:rsidRPr="00081513" w:rsidRDefault="00081513" w:rsidP="00081513">
      <w:pPr>
        <w:pStyle w:val="Textonotapie"/>
        <w:spacing w:before="0" w:beforeAutospacing="0" w:after="0" w:afterAutospacing="0"/>
        <w:rPr>
          <w:color w:val="000000" w:themeColor="text1"/>
          <w:sz w:val="20"/>
          <w:szCs w:val="20"/>
        </w:rPr>
      </w:pPr>
      <w:bookmarkStart w:id="31" w:name="_ftn7"/>
      <w:r w:rsidRPr="00081513">
        <w:rPr>
          <w:rStyle w:val="Refdenotaalpie"/>
          <w:rFonts w:ascii="Arial" w:hAnsi="Arial" w:cs="Arial"/>
          <w:color w:val="000000" w:themeColor="text1"/>
          <w:sz w:val="18"/>
          <w:szCs w:val="18"/>
          <w:u w:val="single"/>
          <w:vertAlign w:val="superscript"/>
          <w:lang w:val="es-ES"/>
        </w:rPr>
        <w:t>[7]</w:t>
      </w:r>
      <w:bookmarkEnd w:id="31"/>
      <w:r w:rsidRPr="00081513">
        <w:rPr>
          <w:rStyle w:val="apple-converted-space"/>
          <w:rFonts w:ascii="Arial" w:hAnsi="Arial" w:cs="Arial"/>
          <w:color w:val="000000" w:themeColor="text1"/>
          <w:sz w:val="18"/>
          <w:szCs w:val="18"/>
          <w:lang w:val="es-ES"/>
        </w:rPr>
        <w:t> </w:t>
      </w:r>
      <w:r w:rsidRPr="00081513">
        <w:rPr>
          <w:rFonts w:ascii="Arial" w:hAnsi="Arial" w:cs="Arial"/>
          <w:color w:val="000000" w:themeColor="text1"/>
          <w:sz w:val="18"/>
          <w:szCs w:val="18"/>
          <w:lang w:val="es-ES_tradnl"/>
        </w:rPr>
        <w:t>Folio 33 del CP.</w:t>
      </w:r>
    </w:p>
    <w:p w:rsidR="00081513" w:rsidRPr="00081513" w:rsidRDefault="00081513" w:rsidP="00081513">
      <w:pPr>
        <w:pStyle w:val="Textonotapie"/>
        <w:spacing w:before="0" w:beforeAutospacing="0" w:after="0" w:afterAutospacing="0"/>
        <w:rPr>
          <w:color w:val="000000" w:themeColor="text1"/>
          <w:sz w:val="20"/>
          <w:szCs w:val="20"/>
        </w:rPr>
      </w:pPr>
      <w:bookmarkStart w:id="32" w:name="_ftn8"/>
      <w:r w:rsidRPr="00081513">
        <w:rPr>
          <w:rStyle w:val="Refdenotaalpie"/>
          <w:rFonts w:ascii="Arial" w:hAnsi="Arial" w:cs="Arial"/>
          <w:color w:val="000000" w:themeColor="text1"/>
          <w:sz w:val="18"/>
          <w:szCs w:val="18"/>
          <w:u w:val="single"/>
          <w:vertAlign w:val="superscript"/>
          <w:lang w:val="es-ES"/>
        </w:rPr>
        <w:t>[8]</w:t>
      </w:r>
      <w:bookmarkEnd w:id="32"/>
      <w:r w:rsidRPr="00081513">
        <w:rPr>
          <w:rStyle w:val="apple-converted-space"/>
          <w:rFonts w:ascii="Arial" w:hAnsi="Arial" w:cs="Arial"/>
          <w:color w:val="000000" w:themeColor="text1"/>
          <w:sz w:val="18"/>
          <w:szCs w:val="18"/>
          <w:lang w:val="es-ES"/>
        </w:rPr>
        <w:t> </w:t>
      </w:r>
      <w:r w:rsidRPr="00081513">
        <w:rPr>
          <w:rFonts w:ascii="Arial" w:hAnsi="Arial" w:cs="Arial"/>
          <w:color w:val="000000" w:themeColor="text1"/>
          <w:sz w:val="18"/>
          <w:szCs w:val="18"/>
        </w:rPr>
        <w:t>Folio 44 del CP.</w:t>
      </w:r>
    </w:p>
    <w:p w:rsidR="00081513" w:rsidRPr="00081513" w:rsidRDefault="00081513" w:rsidP="00081513">
      <w:pPr>
        <w:pStyle w:val="Textonotapie"/>
        <w:spacing w:before="0" w:beforeAutospacing="0" w:after="0" w:afterAutospacing="0"/>
        <w:rPr>
          <w:color w:val="000000" w:themeColor="text1"/>
          <w:sz w:val="20"/>
          <w:szCs w:val="20"/>
        </w:rPr>
      </w:pPr>
      <w:bookmarkStart w:id="33" w:name="_ftn9"/>
      <w:r w:rsidRPr="00081513">
        <w:rPr>
          <w:rStyle w:val="Refdenotaalpie"/>
          <w:rFonts w:ascii="Arial" w:hAnsi="Arial" w:cs="Arial"/>
          <w:color w:val="000000" w:themeColor="text1"/>
          <w:sz w:val="18"/>
          <w:szCs w:val="18"/>
          <w:u w:val="single"/>
          <w:vertAlign w:val="superscript"/>
          <w:lang w:val="es-ES"/>
        </w:rPr>
        <w:t>[9]</w:t>
      </w:r>
      <w:bookmarkEnd w:id="33"/>
      <w:r w:rsidRPr="00081513">
        <w:rPr>
          <w:rStyle w:val="apple-converted-space"/>
          <w:rFonts w:ascii="Arial" w:hAnsi="Arial" w:cs="Arial"/>
          <w:color w:val="000000" w:themeColor="text1"/>
          <w:sz w:val="18"/>
          <w:szCs w:val="18"/>
          <w:lang w:val="es-ES"/>
        </w:rPr>
        <w:t> </w:t>
      </w:r>
      <w:r w:rsidRPr="00081513">
        <w:rPr>
          <w:rFonts w:ascii="Arial" w:hAnsi="Arial" w:cs="Arial"/>
          <w:color w:val="000000" w:themeColor="text1"/>
          <w:sz w:val="18"/>
          <w:szCs w:val="18"/>
        </w:rPr>
        <w:t>Folio 67 del CP.</w:t>
      </w:r>
    </w:p>
    <w:p w:rsidR="00081513" w:rsidRPr="00081513" w:rsidRDefault="00081513" w:rsidP="00081513">
      <w:pPr>
        <w:pStyle w:val="Textonotapie"/>
        <w:spacing w:before="0" w:beforeAutospacing="0" w:after="0" w:afterAutospacing="0"/>
        <w:rPr>
          <w:color w:val="000000" w:themeColor="text1"/>
          <w:sz w:val="20"/>
          <w:szCs w:val="20"/>
        </w:rPr>
      </w:pPr>
      <w:bookmarkStart w:id="34" w:name="_ftn10"/>
      <w:r w:rsidRPr="00081513">
        <w:rPr>
          <w:rStyle w:val="Refdenotaalpie"/>
          <w:rFonts w:ascii="Arial" w:hAnsi="Arial" w:cs="Arial"/>
          <w:color w:val="000000" w:themeColor="text1"/>
          <w:sz w:val="18"/>
          <w:szCs w:val="18"/>
          <w:u w:val="single"/>
          <w:vertAlign w:val="superscript"/>
          <w:lang w:val="es-ES"/>
        </w:rPr>
        <w:t>[10]</w:t>
      </w:r>
      <w:bookmarkEnd w:id="34"/>
      <w:r w:rsidRPr="00081513">
        <w:rPr>
          <w:rStyle w:val="apple-converted-space"/>
          <w:rFonts w:ascii="Arial" w:hAnsi="Arial" w:cs="Arial"/>
          <w:color w:val="000000" w:themeColor="text1"/>
          <w:sz w:val="18"/>
          <w:szCs w:val="18"/>
          <w:lang w:val="es-ES"/>
        </w:rPr>
        <w:t> </w:t>
      </w:r>
      <w:r w:rsidRPr="00081513">
        <w:rPr>
          <w:rFonts w:ascii="Arial" w:hAnsi="Arial" w:cs="Arial"/>
          <w:color w:val="000000" w:themeColor="text1"/>
          <w:sz w:val="18"/>
          <w:szCs w:val="18"/>
        </w:rPr>
        <w:t>Folio 74 del CP.</w:t>
      </w:r>
    </w:p>
    <w:p w:rsidR="00081513" w:rsidRPr="00081513" w:rsidRDefault="00081513" w:rsidP="00081513">
      <w:pPr>
        <w:pStyle w:val="Textonotapie"/>
        <w:spacing w:before="0" w:beforeAutospacing="0" w:after="0" w:afterAutospacing="0"/>
        <w:rPr>
          <w:color w:val="000000" w:themeColor="text1"/>
          <w:sz w:val="20"/>
          <w:szCs w:val="20"/>
        </w:rPr>
      </w:pPr>
      <w:bookmarkStart w:id="35" w:name="_ftn11"/>
      <w:r w:rsidRPr="00081513">
        <w:rPr>
          <w:rStyle w:val="Refdenotaalpie"/>
          <w:rFonts w:ascii="Arial" w:hAnsi="Arial" w:cs="Arial"/>
          <w:color w:val="000000" w:themeColor="text1"/>
          <w:sz w:val="18"/>
          <w:szCs w:val="18"/>
          <w:u w:val="single"/>
          <w:vertAlign w:val="superscript"/>
          <w:lang w:val="es-ES"/>
        </w:rPr>
        <w:t>[11]</w:t>
      </w:r>
      <w:bookmarkEnd w:id="35"/>
      <w:r w:rsidRPr="00081513">
        <w:rPr>
          <w:rStyle w:val="apple-converted-space"/>
          <w:rFonts w:ascii="Arial" w:hAnsi="Arial" w:cs="Arial"/>
          <w:color w:val="000000" w:themeColor="text1"/>
          <w:sz w:val="18"/>
          <w:szCs w:val="18"/>
          <w:lang w:val="es-ES"/>
        </w:rPr>
        <w:t> </w:t>
      </w:r>
      <w:r w:rsidRPr="00081513">
        <w:rPr>
          <w:rFonts w:ascii="Arial" w:hAnsi="Arial" w:cs="Arial"/>
          <w:color w:val="000000" w:themeColor="text1"/>
          <w:sz w:val="18"/>
          <w:szCs w:val="18"/>
        </w:rPr>
        <w:t>Folios 75 y 76 del CP.</w:t>
      </w:r>
    </w:p>
    <w:p w:rsidR="00081513" w:rsidRPr="00081513" w:rsidRDefault="00081513" w:rsidP="00081513">
      <w:pPr>
        <w:pStyle w:val="Textonotapie"/>
        <w:spacing w:before="0" w:beforeAutospacing="0" w:after="0" w:afterAutospacing="0"/>
        <w:rPr>
          <w:color w:val="000000" w:themeColor="text1"/>
          <w:sz w:val="20"/>
          <w:szCs w:val="20"/>
        </w:rPr>
      </w:pPr>
      <w:bookmarkStart w:id="36" w:name="_ftn12"/>
      <w:r w:rsidRPr="00081513">
        <w:rPr>
          <w:rStyle w:val="Refdenotaalpie"/>
          <w:rFonts w:ascii="Arial" w:hAnsi="Arial" w:cs="Arial"/>
          <w:color w:val="000000" w:themeColor="text1"/>
          <w:sz w:val="18"/>
          <w:szCs w:val="18"/>
          <w:u w:val="single"/>
          <w:vertAlign w:val="superscript"/>
          <w:lang w:val="es-ES"/>
        </w:rPr>
        <w:t>[12]</w:t>
      </w:r>
      <w:bookmarkEnd w:id="36"/>
      <w:r w:rsidRPr="00081513">
        <w:rPr>
          <w:rStyle w:val="apple-converted-space"/>
          <w:rFonts w:ascii="Arial" w:hAnsi="Arial" w:cs="Arial"/>
          <w:color w:val="000000" w:themeColor="text1"/>
          <w:sz w:val="18"/>
          <w:szCs w:val="18"/>
          <w:lang w:val="es-ES"/>
        </w:rPr>
        <w:t> </w:t>
      </w:r>
      <w:r w:rsidRPr="00081513">
        <w:rPr>
          <w:rFonts w:ascii="Arial" w:hAnsi="Arial" w:cs="Arial"/>
          <w:color w:val="000000" w:themeColor="text1"/>
          <w:sz w:val="18"/>
          <w:szCs w:val="18"/>
        </w:rPr>
        <w:t>Folio 78 del CP.</w:t>
      </w:r>
    </w:p>
    <w:p w:rsidR="00081513" w:rsidRPr="00081513" w:rsidRDefault="00081513" w:rsidP="00081513">
      <w:pPr>
        <w:pStyle w:val="Textonotapie"/>
        <w:spacing w:before="0" w:beforeAutospacing="0" w:after="0" w:afterAutospacing="0"/>
        <w:rPr>
          <w:color w:val="000000" w:themeColor="text1"/>
          <w:sz w:val="20"/>
          <w:szCs w:val="20"/>
        </w:rPr>
      </w:pPr>
      <w:bookmarkStart w:id="37" w:name="_ftn13"/>
      <w:r w:rsidRPr="00081513">
        <w:rPr>
          <w:rStyle w:val="Refdenotaalpie"/>
          <w:rFonts w:ascii="Arial" w:hAnsi="Arial" w:cs="Arial"/>
          <w:color w:val="000000" w:themeColor="text1"/>
          <w:sz w:val="18"/>
          <w:szCs w:val="18"/>
          <w:u w:val="single"/>
          <w:vertAlign w:val="superscript"/>
          <w:lang w:val="es-ES"/>
        </w:rPr>
        <w:t>[13]</w:t>
      </w:r>
      <w:bookmarkEnd w:id="37"/>
      <w:r w:rsidRPr="00081513">
        <w:rPr>
          <w:rStyle w:val="apple-converted-space"/>
          <w:rFonts w:ascii="Arial" w:hAnsi="Arial" w:cs="Arial"/>
          <w:color w:val="000000" w:themeColor="text1"/>
          <w:sz w:val="18"/>
          <w:szCs w:val="18"/>
          <w:lang w:val="es-ES"/>
        </w:rPr>
        <w:t> </w:t>
      </w:r>
      <w:r w:rsidRPr="00081513">
        <w:rPr>
          <w:rFonts w:ascii="Arial" w:hAnsi="Arial" w:cs="Arial"/>
          <w:color w:val="000000" w:themeColor="text1"/>
          <w:sz w:val="18"/>
          <w:szCs w:val="18"/>
        </w:rPr>
        <w:t>Folio 79 del CP.</w:t>
      </w:r>
    </w:p>
    <w:p w:rsidR="00081513" w:rsidRPr="00081513" w:rsidRDefault="00081513" w:rsidP="00081513">
      <w:pPr>
        <w:pStyle w:val="Textonotapie"/>
        <w:spacing w:before="0" w:beforeAutospacing="0" w:after="0" w:afterAutospacing="0"/>
        <w:rPr>
          <w:color w:val="000000" w:themeColor="text1"/>
          <w:sz w:val="20"/>
          <w:szCs w:val="20"/>
        </w:rPr>
      </w:pPr>
      <w:bookmarkStart w:id="38" w:name="_ftn14"/>
      <w:r w:rsidRPr="00081513">
        <w:rPr>
          <w:rStyle w:val="Refdenotaalpie"/>
          <w:rFonts w:ascii="Arial" w:hAnsi="Arial" w:cs="Arial"/>
          <w:color w:val="000000" w:themeColor="text1"/>
          <w:sz w:val="18"/>
          <w:szCs w:val="18"/>
          <w:u w:val="single"/>
          <w:vertAlign w:val="superscript"/>
          <w:lang w:val="es-ES"/>
        </w:rPr>
        <w:t>[14]</w:t>
      </w:r>
      <w:bookmarkEnd w:id="38"/>
      <w:r w:rsidRPr="00081513">
        <w:rPr>
          <w:rStyle w:val="apple-converted-space"/>
          <w:rFonts w:ascii="Arial" w:hAnsi="Arial" w:cs="Arial"/>
          <w:color w:val="000000" w:themeColor="text1"/>
          <w:sz w:val="18"/>
          <w:szCs w:val="18"/>
          <w:lang w:val="es-ES"/>
        </w:rPr>
        <w:t> </w:t>
      </w:r>
      <w:r w:rsidRPr="00081513">
        <w:rPr>
          <w:rFonts w:ascii="Arial" w:hAnsi="Arial" w:cs="Arial"/>
          <w:color w:val="000000" w:themeColor="text1"/>
          <w:sz w:val="18"/>
          <w:szCs w:val="18"/>
        </w:rPr>
        <w:t>Folio 83 del CP.</w:t>
      </w:r>
    </w:p>
    <w:p w:rsidR="00081513" w:rsidRPr="00081513" w:rsidRDefault="00081513" w:rsidP="00081513">
      <w:pPr>
        <w:pStyle w:val="Textonotapie"/>
        <w:spacing w:before="0" w:beforeAutospacing="0" w:after="0" w:afterAutospacing="0"/>
        <w:rPr>
          <w:color w:val="000000" w:themeColor="text1"/>
          <w:sz w:val="20"/>
          <w:szCs w:val="20"/>
        </w:rPr>
      </w:pPr>
      <w:bookmarkStart w:id="39" w:name="_ftn15"/>
      <w:r w:rsidRPr="00081513">
        <w:rPr>
          <w:rStyle w:val="Refdenotaalpie"/>
          <w:rFonts w:ascii="Arial" w:hAnsi="Arial" w:cs="Arial"/>
          <w:color w:val="000000" w:themeColor="text1"/>
          <w:sz w:val="18"/>
          <w:szCs w:val="18"/>
          <w:u w:val="single"/>
          <w:vertAlign w:val="superscript"/>
          <w:lang w:val="es-ES"/>
        </w:rPr>
        <w:t>[15]</w:t>
      </w:r>
      <w:bookmarkEnd w:id="39"/>
      <w:r w:rsidRPr="00081513">
        <w:rPr>
          <w:rStyle w:val="apple-converted-space"/>
          <w:rFonts w:ascii="Arial" w:hAnsi="Arial" w:cs="Arial"/>
          <w:color w:val="000000" w:themeColor="text1"/>
          <w:sz w:val="18"/>
          <w:szCs w:val="18"/>
          <w:lang w:val="es-ES"/>
        </w:rPr>
        <w:t> </w:t>
      </w:r>
      <w:r w:rsidRPr="00081513">
        <w:rPr>
          <w:rFonts w:ascii="Arial" w:hAnsi="Arial" w:cs="Arial"/>
          <w:color w:val="000000" w:themeColor="text1"/>
          <w:sz w:val="18"/>
          <w:szCs w:val="18"/>
        </w:rPr>
        <w:t>Folio 98 del CP.</w:t>
      </w:r>
    </w:p>
    <w:p w:rsidR="00081513" w:rsidRPr="00081513" w:rsidRDefault="00081513" w:rsidP="00081513">
      <w:pPr>
        <w:pStyle w:val="Textonotapie"/>
        <w:spacing w:before="0" w:beforeAutospacing="0" w:after="0" w:afterAutospacing="0"/>
        <w:rPr>
          <w:color w:val="000000" w:themeColor="text1"/>
          <w:sz w:val="20"/>
          <w:szCs w:val="20"/>
        </w:rPr>
      </w:pPr>
      <w:bookmarkStart w:id="40" w:name="_ftn16"/>
      <w:r w:rsidRPr="00081513">
        <w:rPr>
          <w:rStyle w:val="Refdenotaalpie"/>
          <w:rFonts w:ascii="Arial" w:hAnsi="Arial" w:cs="Arial"/>
          <w:color w:val="000000" w:themeColor="text1"/>
          <w:sz w:val="18"/>
          <w:szCs w:val="18"/>
          <w:u w:val="single"/>
          <w:vertAlign w:val="superscript"/>
          <w:lang w:val="es-ES"/>
        </w:rPr>
        <w:t>[16]</w:t>
      </w:r>
      <w:bookmarkEnd w:id="40"/>
      <w:r w:rsidRPr="00081513">
        <w:rPr>
          <w:rStyle w:val="apple-converted-space"/>
          <w:rFonts w:ascii="Arial" w:hAnsi="Arial" w:cs="Arial"/>
          <w:color w:val="000000" w:themeColor="text1"/>
          <w:sz w:val="18"/>
          <w:szCs w:val="18"/>
          <w:lang w:val="es-ES"/>
        </w:rPr>
        <w:t> </w:t>
      </w:r>
      <w:r w:rsidRPr="00081513">
        <w:rPr>
          <w:rFonts w:ascii="Arial" w:hAnsi="Arial" w:cs="Arial"/>
          <w:color w:val="000000" w:themeColor="text1"/>
          <w:sz w:val="18"/>
          <w:szCs w:val="18"/>
        </w:rPr>
        <w:t>Folios 100 al 109 del CP.</w:t>
      </w:r>
    </w:p>
    <w:p w:rsidR="00081513" w:rsidRPr="00081513" w:rsidRDefault="00081513" w:rsidP="00081513">
      <w:pPr>
        <w:pStyle w:val="Textonotapie"/>
        <w:spacing w:before="0" w:beforeAutospacing="0" w:after="0" w:afterAutospacing="0"/>
        <w:rPr>
          <w:color w:val="000000" w:themeColor="text1"/>
          <w:sz w:val="20"/>
          <w:szCs w:val="20"/>
        </w:rPr>
      </w:pPr>
      <w:bookmarkStart w:id="41" w:name="_ftn17"/>
      <w:r w:rsidRPr="00081513">
        <w:rPr>
          <w:rStyle w:val="Refdenotaalpie"/>
          <w:rFonts w:ascii="Arial" w:hAnsi="Arial" w:cs="Arial"/>
          <w:color w:val="000000" w:themeColor="text1"/>
          <w:sz w:val="18"/>
          <w:szCs w:val="18"/>
          <w:u w:val="single"/>
          <w:vertAlign w:val="superscript"/>
          <w:lang w:val="es-ES"/>
        </w:rPr>
        <w:t>[17]</w:t>
      </w:r>
      <w:bookmarkEnd w:id="41"/>
      <w:r w:rsidRPr="00081513">
        <w:rPr>
          <w:rStyle w:val="apple-converted-space"/>
          <w:rFonts w:ascii="Arial" w:hAnsi="Arial" w:cs="Arial"/>
          <w:color w:val="000000" w:themeColor="text1"/>
          <w:sz w:val="18"/>
          <w:szCs w:val="18"/>
          <w:lang w:val="es-ES"/>
        </w:rPr>
        <w:t> </w:t>
      </w:r>
      <w:r w:rsidRPr="00081513">
        <w:rPr>
          <w:rFonts w:ascii="Arial" w:hAnsi="Arial" w:cs="Arial"/>
          <w:color w:val="000000" w:themeColor="text1"/>
          <w:sz w:val="18"/>
          <w:szCs w:val="18"/>
        </w:rPr>
        <w:t>Folios 119 y 120 del CP.</w:t>
      </w:r>
    </w:p>
    <w:p w:rsidR="00081513" w:rsidRPr="00081513" w:rsidRDefault="00081513" w:rsidP="00081513">
      <w:pPr>
        <w:pStyle w:val="Textonotapie"/>
        <w:spacing w:before="0" w:beforeAutospacing="0" w:after="0" w:afterAutospacing="0"/>
        <w:rPr>
          <w:color w:val="000000" w:themeColor="text1"/>
          <w:sz w:val="20"/>
          <w:szCs w:val="20"/>
        </w:rPr>
      </w:pPr>
      <w:bookmarkStart w:id="42" w:name="_ftn18"/>
      <w:r w:rsidRPr="00081513">
        <w:rPr>
          <w:rStyle w:val="Refdenotaalpie"/>
          <w:rFonts w:ascii="Arial" w:hAnsi="Arial" w:cs="Arial"/>
          <w:color w:val="000000" w:themeColor="text1"/>
          <w:sz w:val="18"/>
          <w:szCs w:val="18"/>
          <w:u w:val="single"/>
          <w:vertAlign w:val="superscript"/>
          <w:lang w:val="es-ES"/>
        </w:rPr>
        <w:t>[18]</w:t>
      </w:r>
      <w:bookmarkEnd w:id="42"/>
      <w:r w:rsidRPr="00081513">
        <w:rPr>
          <w:rStyle w:val="apple-converted-space"/>
          <w:rFonts w:ascii="Arial" w:hAnsi="Arial" w:cs="Arial"/>
          <w:color w:val="000000" w:themeColor="text1"/>
          <w:sz w:val="18"/>
          <w:szCs w:val="18"/>
          <w:lang w:val="es-ES"/>
        </w:rPr>
        <w:t> </w:t>
      </w:r>
      <w:r w:rsidRPr="00081513">
        <w:rPr>
          <w:rFonts w:ascii="Arial" w:hAnsi="Arial" w:cs="Arial"/>
          <w:color w:val="000000" w:themeColor="text1"/>
          <w:sz w:val="18"/>
          <w:szCs w:val="18"/>
        </w:rPr>
        <w:t>Folios124 y 125 de CP.</w:t>
      </w:r>
    </w:p>
    <w:p w:rsidR="00081513" w:rsidRPr="00081513" w:rsidRDefault="00081513" w:rsidP="00081513">
      <w:pPr>
        <w:pStyle w:val="Textonotapie"/>
        <w:spacing w:before="0" w:beforeAutospacing="0" w:after="0" w:afterAutospacing="0"/>
        <w:rPr>
          <w:color w:val="000000" w:themeColor="text1"/>
          <w:sz w:val="20"/>
          <w:szCs w:val="20"/>
        </w:rPr>
      </w:pPr>
      <w:bookmarkStart w:id="43" w:name="_ftn19"/>
      <w:r w:rsidRPr="00081513">
        <w:rPr>
          <w:rStyle w:val="Refdenotaalpie"/>
          <w:rFonts w:ascii="Arial" w:hAnsi="Arial" w:cs="Arial"/>
          <w:color w:val="000000" w:themeColor="text1"/>
          <w:sz w:val="18"/>
          <w:szCs w:val="18"/>
          <w:u w:val="single"/>
          <w:vertAlign w:val="superscript"/>
          <w:lang w:val="es-ES"/>
        </w:rPr>
        <w:t>[19]</w:t>
      </w:r>
      <w:bookmarkEnd w:id="43"/>
      <w:r w:rsidRPr="00081513">
        <w:rPr>
          <w:rStyle w:val="apple-converted-space"/>
          <w:rFonts w:ascii="Arial" w:hAnsi="Arial" w:cs="Arial"/>
          <w:color w:val="000000" w:themeColor="text1"/>
          <w:sz w:val="18"/>
          <w:szCs w:val="18"/>
          <w:lang w:val="es-ES"/>
        </w:rPr>
        <w:t> </w:t>
      </w:r>
      <w:r w:rsidRPr="00081513">
        <w:rPr>
          <w:rFonts w:ascii="Arial" w:hAnsi="Arial" w:cs="Arial"/>
          <w:color w:val="000000" w:themeColor="text1"/>
          <w:sz w:val="18"/>
          <w:szCs w:val="18"/>
        </w:rPr>
        <w:t>Folio 127 del CP.</w:t>
      </w:r>
    </w:p>
    <w:p w:rsidR="00081513" w:rsidRPr="00081513" w:rsidRDefault="00081513" w:rsidP="00081513">
      <w:pPr>
        <w:pStyle w:val="Textonotapie"/>
        <w:spacing w:before="0" w:beforeAutospacing="0" w:after="0" w:afterAutospacing="0"/>
        <w:rPr>
          <w:color w:val="000000" w:themeColor="text1"/>
          <w:sz w:val="20"/>
          <w:szCs w:val="20"/>
        </w:rPr>
      </w:pPr>
      <w:bookmarkStart w:id="44" w:name="_ftn20"/>
      <w:r w:rsidRPr="00081513">
        <w:rPr>
          <w:rStyle w:val="Refdenotaalpie"/>
          <w:rFonts w:ascii="Arial" w:hAnsi="Arial" w:cs="Arial"/>
          <w:color w:val="000000" w:themeColor="text1"/>
          <w:sz w:val="18"/>
          <w:szCs w:val="18"/>
          <w:u w:val="single"/>
          <w:vertAlign w:val="superscript"/>
          <w:lang w:val="es-ES"/>
        </w:rPr>
        <w:t>[20]</w:t>
      </w:r>
      <w:bookmarkEnd w:id="44"/>
      <w:r w:rsidRPr="00081513">
        <w:rPr>
          <w:rStyle w:val="apple-converted-space"/>
          <w:rFonts w:ascii="Arial" w:hAnsi="Arial" w:cs="Arial"/>
          <w:color w:val="000000" w:themeColor="text1"/>
          <w:sz w:val="18"/>
          <w:szCs w:val="18"/>
          <w:lang w:val="es-ES"/>
        </w:rPr>
        <w:t> </w:t>
      </w:r>
      <w:r w:rsidRPr="00081513">
        <w:rPr>
          <w:rFonts w:ascii="Arial" w:hAnsi="Arial" w:cs="Arial"/>
          <w:color w:val="000000" w:themeColor="text1"/>
          <w:sz w:val="18"/>
          <w:szCs w:val="18"/>
        </w:rPr>
        <w:t>Folios 150 al 153 del CP.</w:t>
      </w:r>
    </w:p>
    <w:p w:rsidR="00081513" w:rsidRPr="00081513" w:rsidRDefault="00081513" w:rsidP="00081513">
      <w:pPr>
        <w:pStyle w:val="Textonotapie"/>
        <w:jc w:val="both"/>
        <w:rPr>
          <w:color w:val="000000" w:themeColor="text1"/>
          <w:sz w:val="27"/>
          <w:szCs w:val="27"/>
        </w:rPr>
      </w:pPr>
      <w:bookmarkStart w:id="45" w:name="_ftn21"/>
      <w:r w:rsidRPr="00081513">
        <w:rPr>
          <w:rStyle w:val="Refdenotaalpie"/>
          <w:rFonts w:ascii="Arial" w:hAnsi="Arial" w:cs="Arial"/>
          <w:color w:val="000000" w:themeColor="text1"/>
          <w:sz w:val="18"/>
          <w:szCs w:val="18"/>
          <w:u w:val="single"/>
          <w:vertAlign w:val="superscript"/>
          <w:lang w:val="es-ES"/>
        </w:rPr>
        <w:t>[21]</w:t>
      </w:r>
      <w:bookmarkEnd w:id="45"/>
      <w:r w:rsidRPr="00081513">
        <w:rPr>
          <w:rStyle w:val="apple-converted-space"/>
          <w:rFonts w:ascii="Arial" w:hAnsi="Arial" w:cs="Arial"/>
          <w:color w:val="000000" w:themeColor="text1"/>
          <w:sz w:val="18"/>
          <w:szCs w:val="18"/>
          <w:lang w:val="es-ES"/>
        </w:rPr>
        <w:t> </w:t>
      </w:r>
      <w:r w:rsidRPr="00081513">
        <w:rPr>
          <w:rFonts w:ascii="Arial" w:hAnsi="Arial" w:cs="Arial"/>
          <w:color w:val="000000" w:themeColor="text1"/>
          <w:sz w:val="18"/>
          <w:szCs w:val="18"/>
          <w:lang w:val="es-ES"/>
        </w:rPr>
        <w:t>A</w:t>
      </w:r>
      <w:r w:rsidRPr="00081513">
        <w:rPr>
          <w:rStyle w:val="textonavy"/>
          <w:rFonts w:ascii="Arial" w:hAnsi="Arial" w:cs="Arial"/>
          <w:color w:val="000000" w:themeColor="text1"/>
          <w:sz w:val="18"/>
          <w:szCs w:val="18"/>
          <w:lang w:val="es-ES"/>
        </w:rPr>
        <w:t>rtículo 1°.</w:t>
      </w:r>
      <w:r w:rsidRPr="00081513">
        <w:rPr>
          <w:rStyle w:val="apple-converted-space"/>
          <w:rFonts w:ascii="Arial" w:hAnsi="Arial" w:cs="Arial"/>
          <w:color w:val="000000" w:themeColor="text1"/>
          <w:sz w:val="18"/>
          <w:szCs w:val="18"/>
          <w:lang w:val="es-ES"/>
        </w:rPr>
        <w:t> R</w:t>
      </w:r>
      <w:r w:rsidRPr="00081513">
        <w:rPr>
          <w:rStyle w:val="textonavy"/>
          <w:rFonts w:ascii="Arial" w:hAnsi="Arial" w:cs="Arial"/>
          <w:color w:val="000000" w:themeColor="text1"/>
          <w:sz w:val="18"/>
          <w:szCs w:val="18"/>
          <w:lang w:val="es-ES"/>
        </w:rPr>
        <w:t>eadecuación temporal de competencias previstas en la ley 446 DE 1998.</w:t>
      </w:r>
      <w:r w:rsidRPr="00081513">
        <w:rPr>
          <w:rStyle w:val="apple-converted-space"/>
          <w:rFonts w:ascii="Arial" w:hAnsi="Arial" w:cs="Arial"/>
          <w:color w:val="000000" w:themeColor="text1"/>
          <w:sz w:val="18"/>
          <w:szCs w:val="18"/>
          <w:lang w:val="es-ES"/>
        </w:rPr>
        <w:t>  </w:t>
      </w:r>
      <w:r w:rsidRPr="00081513">
        <w:rPr>
          <w:rFonts w:ascii="Arial" w:hAnsi="Arial" w:cs="Arial"/>
          <w:color w:val="000000" w:themeColor="text1"/>
          <w:sz w:val="18"/>
          <w:szCs w:val="18"/>
          <w:lang w:val="es-ES"/>
        </w:rPr>
        <w:t>El parágrafo del artículo</w:t>
      </w:r>
      <w:r w:rsidRPr="00081513">
        <w:rPr>
          <w:rStyle w:val="apple-converted-space"/>
          <w:rFonts w:ascii="Arial" w:hAnsi="Arial" w:cs="Arial"/>
          <w:color w:val="000000" w:themeColor="text1"/>
          <w:sz w:val="18"/>
          <w:szCs w:val="18"/>
          <w:lang w:val="es-ES"/>
        </w:rPr>
        <w:t> 164 </w:t>
      </w:r>
      <w:r w:rsidRPr="00081513">
        <w:rPr>
          <w:rFonts w:ascii="Arial" w:hAnsi="Arial" w:cs="Arial"/>
          <w:color w:val="000000" w:themeColor="text1"/>
          <w:sz w:val="18"/>
          <w:szCs w:val="18"/>
          <w:lang w:val="es-ES"/>
        </w:rPr>
        <w:t>de la Ley 446 de 1998, quedará así:</w:t>
      </w:r>
    </w:p>
    <w:p w:rsidR="00081513" w:rsidRPr="00081513" w:rsidRDefault="00081513" w:rsidP="00081513">
      <w:pPr>
        <w:pStyle w:val="Textonotapie"/>
        <w:rPr>
          <w:color w:val="000000" w:themeColor="text1"/>
          <w:sz w:val="27"/>
          <w:szCs w:val="27"/>
        </w:rPr>
      </w:pPr>
      <w:r w:rsidRPr="00081513">
        <w:rPr>
          <w:rFonts w:ascii="Arial" w:hAnsi="Arial" w:cs="Arial"/>
          <w:color w:val="000000" w:themeColor="text1"/>
          <w:sz w:val="18"/>
          <w:szCs w:val="18"/>
          <w:lang w:val="es-ES"/>
        </w:rPr>
        <w:t> </w:t>
      </w:r>
    </w:p>
    <w:p w:rsidR="00081513" w:rsidRPr="00081513" w:rsidRDefault="00081513" w:rsidP="00081513">
      <w:pPr>
        <w:spacing w:before="100" w:beforeAutospacing="1" w:after="100" w:afterAutospacing="1"/>
        <w:jc w:val="both"/>
        <w:rPr>
          <w:color w:val="000000" w:themeColor="text1"/>
          <w:sz w:val="24"/>
          <w:szCs w:val="24"/>
        </w:rPr>
      </w:pPr>
      <w:r w:rsidRPr="00081513">
        <w:rPr>
          <w:rStyle w:val="textonavy"/>
          <w:rFonts w:ascii="Arial" w:hAnsi="Arial" w:cs="Arial"/>
          <w:color w:val="000000" w:themeColor="text1"/>
          <w:sz w:val="18"/>
          <w:szCs w:val="18"/>
        </w:rPr>
        <w:t>Parágrafo.</w:t>
      </w:r>
      <w:r w:rsidRPr="00081513">
        <w:rPr>
          <w:rStyle w:val="apple-converted-space"/>
          <w:rFonts w:ascii="Arial" w:hAnsi="Arial" w:cs="Arial"/>
          <w:color w:val="000000" w:themeColor="text1"/>
          <w:sz w:val="18"/>
          <w:szCs w:val="18"/>
        </w:rPr>
        <w:t> </w:t>
      </w:r>
      <w:r w:rsidRPr="00081513">
        <w:rPr>
          <w:rFonts w:ascii="Arial" w:hAnsi="Arial" w:cs="Arial"/>
          <w:color w:val="000000" w:themeColor="text1"/>
          <w:sz w:val="18"/>
          <w:szCs w:val="18"/>
        </w:rPr>
        <w:t>Las normas de competencia previstas en esta ley se aplicarán, mientras entran a operar los Juzgados Administrativos, así:</w:t>
      </w:r>
    </w:p>
    <w:p w:rsidR="00081513" w:rsidRPr="00081513" w:rsidRDefault="00081513" w:rsidP="00081513">
      <w:pPr>
        <w:spacing w:before="100" w:beforeAutospacing="1" w:after="100" w:afterAutospacing="1"/>
        <w:jc w:val="both"/>
        <w:rPr>
          <w:color w:val="000000" w:themeColor="text1"/>
        </w:rPr>
      </w:pPr>
      <w:r w:rsidRPr="00081513">
        <w:rPr>
          <w:rFonts w:ascii="Arial" w:hAnsi="Arial" w:cs="Arial"/>
          <w:color w:val="000000" w:themeColor="text1"/>
          <w:sz w:val="18"/>
          <w:szCs w:val="18"/>
        </w:rPr>
        <w:t> </w:t>
      </w:r>
    </w:p>
    <w:p w:rsidR="00081513" w:rsidRPr="00081513" w:rsidRDefault="00081513" w:rsidP="00081513">
      <w:pPr>
        <w:spacing w:before="100" w:beforeAutospacing="1" w:after="100" w:afterAutospacing="1"/>
        <w:jc w:val="both"/>
        <w:rPr>
          <w:color w:val="000000" w:themeColor="text1"/>
        </w:rPr>
      </w:pPr>
      <w:r w:rsidRPr="00081513">
        <w:rPr>
          <w:rFonts w:ascii="Arial" w:hAnsi="Arial" w:cs="Arial"/>
          <w:color w:val="000000" w:themeColor="text1"/>
          <w:sz w:val="18"/>
          <w:szCs w:val="18"/>
        </w:rPr>
        <w:lastRenderedPageBreak/>
        <w:t>Los Tribunales Administrativos conocerán en</w:t>
      </w:r>
      <w:r w:rsidRPr="00081513">
        <w:rPr>
          <w:rStyle w:val="apple-converted-space"/>
          <w:rFonts w:ascii="Arial" w:hAnsi="Arial" w:cs="Arial"/>
          <w:color w:val="000000" w:themeColor="text1"/>
          <w:sz w:val="18"/>
          <w:szCs w:val="18"/>
        </w:rPr>
        <w:t> </w:t>
      </w:r>
      <w:r w:rsidRPr="00081513">
        <w:rPr>
          <w:rFonts w:ascii="Arial" w:hAnsi="Arial" w:cs="Arial"/>
          <w:color w:val="000000" w:themeColor="text1"/>
          <w:sz w:val="18"/>
          <w:szCs w:val="18"/>
        </w:rPr>
        <w:t>única instancia de los procesos cuyas cuantías sean hasta de</w:t>
      </w:r>
      <w:r w:rsidRPr="00081513">
        <w:rPr>
          <w:rStyle w:val="apple-converted-space"/>
          <w:rFonts w:ascii="Arial" w:hAnsi="Arial" w:cs="Arial"/>
          <w:color w:val="000000" w:themeColor="text1"/>
          <w:sz w:val="18"/>
          <w:szCs w:val="18"/>
        </w:rPr>
        <w:t> </w:t>
      </w:r>
      <w:r w:rsidRPr="00081513">
        <w:rPr>
          <w:rFonts w:ascii="Arial" w:hAnsi="Arial" w:cs="Arial"/>
          <w:color w:val="000000" w:themeColor="text1"/>
          <w:sz w:val="18"/>
          <w:szCs w:val="18"/>
        </w:rPr>
        <w:t>100, 300,</w:t>
      </w:r>
      <w:r w:rsidRPr="00081513">
        <w:rPr>
          <w:rStyle w:val="apple-converted-space"/>
          <w:rFonts w:ascii="Arial" w:hAnsi="Arial" w:cs="Arial"/>
          <w:color w:val="000000" w:themeColor="text1"/>
          <w:sz w:val="18"/>
          <w:szCs w:val="18"/>
        </w:rPr>
        <w:t> </w:t>
      </w:r>
      <w:r w:rsidRPr="00081513">
        <w:rPr>
          <w:rFonts w:ascii="Arial" w:hAnsi="Arial" w:cs="Arial"/>
          <w:color w:val="000000" w:themeColor="text1"/>
          <w:sz w:val="18"/>
          <w:szCs w:val="18"/>
        </w:rPr>
        <w:t>500</w:t>
      </w:r>
      <w:r w:rsidRPr="00081513">
        <w:rPr>
          <w:rStyle w:val="apple-converted-space"/>
          <w:rFonts w:ascii="Arial" w:hAnsi="Arial" w:cs="Arial"/>
          <w:color w:val="000000" w:themeColor="text1"/>
          <w:sz w:val="18"/>
          <w:szCs w:val="18"/>
        </w:rPr>
        <w:t> </w:t>
      </w:r>
      <w:r w:rsidRPr="00081513">
        <w:rPr>
          <w:rFonts w:ascii="Arial" w:hAnsi="Arial" w:cs="Arial"/>
          <w:color w:val="000000" w:themeColor="text1"/>
          <w:sz w:val="18"/>
          <w:szCs w:val="18"/>
        </w:rPr>
        <w:t>y</w:t>
      </w:r>
      <w:r w:rsidRPr="00081513">
        <w:rPr>
          <w:rStyle w:val="apple-converted-space"/>
          <w:rFonts w:ascii="Arial" w:hAnsi="Arial" w:cs="Arial"/>
          <w:color w:val="000000" w:themeColor="text1"/>
          <w:sz w:val="18"/>
          <w:szCs w:val="18"/>
        </w:rPr>
        <w:t> </w:t>
      </w:r>
      <w:r w:rsidRPr="00081513">
        <w:rPr>
          <w:rFonts w:ascii="Arial" w:hAnsi="Arial" w:cs="Arial"/>
          <w:color w:val="000000" w:themeColor="text1"/>
          <w:sz w:val="18"/>
          <w:szCs w:val="18"/>
        </w:rPr>
        <w:t>1.500</w:t>
      </w:r>
      <w:r w:rsidRPr="00081513">
        <w:rPr>
          <w:rStyle w:val="apple-converted-space"/>
          <w:rFonts w:ascii="Arial" w:hAnsi="Arial" w:cs="Arial"/>
          <w:color w:val="000000" w:themeColor="text1"/>
          <w:sz w:val="18"/>
          <w:szCs w:val="18"/>
        </w:rPr>
        <w:t> </w:t>
      </w:r>
      <w:r w:rsidRPr="00081513">
        <w:rPr>
          <w:rFonts w:ascii="Arial" w:hAnsi="Arial" w:cs="Arial"/>
          <w:color w:val="000000" w:themeColor="text1"/>
          <w:sz w:val="18"/>
          <w:szCs w:val="18"/>
        </w:rPr>
        <w:t>salarios mínimos legales mensuales vigentes previstas en el artículo 42, según el caso,</w:t>
      </w:r>
      <w:r w:rsidRPr="00081513">
        <w:rPr>
          <w:rStyle w:val="apple-converted-space"/>
          <w:rFonts w:ascii="Arial" w:hAnsi="Arial" w:cs="Arial"/>
          <w:color w:val="000000" w:themeColor="text1"/>
          <w:sz w:val="18"/>
          <w:szCs w:val="18"/>
        </w:rPr>
        <w:t> </w:t>
      </w:r>
      <w:r w:rsidRPr="00081513">
        <w:rPr>
          <w:rFonts w:ascii="Arial" w:hAnsi="Arial" w:cs="Arial"/>
          <w:color w:val="000000" w:themeColor="text1"/>
          <w:sz w:val="18"/>
          <w:szCs w:val="18"/>
        </w:rPr>
        <w:t>y</w:t>
      </w:r>
      <w:r w:rsidRPr="00081513">
        <w:rPr>
          <w:rStyle w:val="apple-converted-space"/>
          <w:rFonts w:ascii="Arial" w:hAnsi="Arial" w:cs="Arial"/>
          <w:color w:val="000000" w:themeColor="text1"/>
          <w:sz w:val="18"/>
          <w:szCs w:val="18"/>
        </w:rPr>
        <w:t> </w:t>
      </w:r>
      <w:r w:rsidRPr="00081513">
        <w:rPr>
          <w:rFonts w:ascii="Arial" w:hAnsi="Arial" w:cs="Arial"/>
          <w:color w:val="000000" w:themeColor="text1"/>
          <w:sz w:val="18"/>
          <w:szCs w:val="18"/>
        </w:rPr>
        <w:t>en primera instancia</w:t>
      </w:r>
      <w:r w:rsidRPr="00081513">
        <w:rPr>
          <w:rStyle w:val="apple-converted-space"/>
          <w:rFonts w:ascii="Arial" w:hAnsi="Arial" w:cs="Arial"/>
          <w:color w:val="000000" w:themeColor="text1"/>
          <w:sz w:val="18"/>
          <w:szCs w:val="18"/>
        </w:rPr>
        <w:t> </w:t>
      </w:r>
      <w:r w:rsidRPr="00081513">
        <w:rPr>
          <w:rFonts w:ascii="Arial" w:hAnsi="Arial" w:cs="Arial"/>
          <w:color w:val="000000" w:themeColor="text1"/>
          <w:sz w:val="18"/>
          <w:szCs w:val="18"/>
        </w:rPr>
        <w:t>cuando la cuantía exceda de los montos. Asimismo, en única instancia del recurso previsto en los artículos 21 y 24 de la Ley 57 de 1985, en los casos de los municipios y distritos y de los procesos descritos en el numeral 9 del artículo</w:t>
      </w:r>
      <w:r w:rsidRPr="00081513">
        <w:rPr>
          <w:rStyle w:val="apple-converted-space"/>
          <w:rFonts w:ascii="Arial" w:hAnsi="Arial" w:cs="Arial"/>
          <w:color w:val="000000" w:themeColor="text1"/>
          <w:sz w:val="18"/>
          <w:szCs w:val="18"/>
        </w:rPr>
        <w:t> 134b </w:t>
      </w:r>
      <w:r w:rsidRPr="00081513">
        <w:rPr>
          <w:rFonts w:ascii="Arial" w:hAnsi="Arial" w:cs="Arial"/>
          <w:color w:val="000000" w:themeColor="text1"/>
          <w:sz w:val="18"/>
          <w:szCs w:val="18"/>
        </w:rPr>
        <w:t>adicionado por esta ley, salvo los relativos a la acción de nulidad electoral de los alcaldes de municipios que no sean capital de departamento, que serán revisados en primera instancia.</w:t>
      </w:r>
    </w:p>
    <w:p w:rsidR="00081513" w:rsidRPr="00081513" w:rsidRDefault="00081513" w:rsidP="00081513">
      <w:pPr>
        <w:spacing w:before="100" w:beforeAutospacing="1" w:after="100" w:afterAutospacing="1"/>
        <w:jc w:val="both"/>
        <w:rPr>
          <w:color w:val="000000" w:themeColor="text1"/>
        </w:rPr>
      </w:pPr>
      <w:r w:rsidRPr="00081513">
        <w:rPr>
          <w:rFonts w:ascii="Arial" w:hAnsi="Arial" w:cs="Arial"/>
          <w:color w:val="000000" w:themeColor="text1"/>
          <w:sz w:val="18"/>
          <w:szCs w:val="18"/>
        </w:rPr>
        <w:t> </w:t>
      </w:r>
    </w:p>
    <w:p w:rsidR="00081513" w:rsidRPr="00081513" w:rsidRDefault="00081513" w:rsidP="00081513">
      <w:pPr>
        <w:spacing w:before="100" w:beforeAutospacing="1" w:after="100" w:afterAutospacing="1"/>
        <w:jc w:val="both"/>
        <w:rPr>
          <w:color w:val="000000" w:themeColor="text1"/>
        </w:rPr>
      </w:pPr>
      <w:r w:rsidRPr="00081513">
        <w:rPr>
          <w:rFonts w:ascii="Arial" w:hAnsi="Arial" w:cs="Arial"/>
          <w:color w:val="000000" w:themeColor="text1"/>
          <w:sz w:val="18"/>
          <w:szCs w:val="18"/>
        </w:rPr>
        <w:t>Los Tribunales Administrativos continuarán, en única y primera instancia, con el ejercicio de las competencias de que tratan los artículos</w:t>
      </w:r>
      <w:r w:rsidRPr="00081513">
        <w:rPr>
          <w:rStyle w:val="apple-converted-space"/>
          <w:rFonts w:ascii="Arial" w:hAnsi="Arial" w:cs="Arial"/>
          <w:color w:val="000000" w:themeColor="text1"/>
          <w:sz w:val="18"/>
          <w:szCs w:val="18"/>
        </w:rPr>
        <w:t> 39 y 40</w:t>
      </w:r>
      <w:r w:rsidRPr="00081513">
        <w:rPr>
          <w:rFonts w:ascii="Arial" w:hAnsi="Arial" w:cs="Arial"/>
          <w:color w:val="000000" w:themeColor="text1"/>
          <w:sz w:val="18"/>
          <w:szCs w:val="18"/>
        </w:rPr>
        <w:t>.</w:t>
      </w:r>
    </w:p>
    <w:p w:rsidR="00081513" w:rsidRPr="00081513" w:rsidRDefault="00081513" w:rsidP="00081513">
      <w:pPr>
        <w:spacing w:before="100" w:beforeAutospacing="1" w:after="100" w:afterAutospacing="1"/>
        <w:jc w:val="both"/>
        <w:rPr>
          <w:color w:val="000000" w:themeColor="text1"/>
        </w:rPr>
      </w:pPr>
      <w:r w:rsidRPr="00081513">
        <w:rPr>
          <w:rFonts w:ascii="Arial" w:hAnsi="Arial" w:cs="Arial"/>
          <w:color w:val="000000" w:themeColor="text1"/>
          <w:sz w:val="18"/>
          <w:szCs w:val="18"/>
        </w:rPr>
        <w:t> </w:t>
      </w:r>
    </w:p>
    <w:p w:rsidR="00081513" w:rsidRPr="00081513" w:rsidRDefault="00081513" w:rsidP="00081513">
      <w:pPr>
        <w:spacing w:before="100" w:beforeAutospacing="1" w:after="100" w:afterAutospacing="1"/>
        <w:jc w:val="both"/>
        <w:rPr>
          <w:color w:val="000000" w:themeColor="text1"/>
        </w:rPr>
      </w:pPr>
      <w:r w:rsidRPr="00081513">
        <w:rPr>
          <w:rFonts w:ascii="Arial" w:hAnsi="Arial" w:cs="Arial"/>
          <w:color w:val="000000" w:themeColor="text1"/>
          <w:sz w:val="18"/>
          <w:szCs w:val="18"/>
        </w:rPr>
        <w:t>Las competencias sobre jurisdicción coactiva asignadas en segunda instancia a los Tribunales Administrativos según el artículo</w:t>
      </w:r>
      <w:r w:rsidRPr="00081513">
        <w:rPr>
          <w:rStyle w:val="apple-converted-space"/>
          <w:rFonts w:ascii="Arial" w:hAnsi="Arial" w:cs="Arial"/>
          <w:color w:val="000000" w:themeColor="text1"/>
          <w:sz w:val="18"/>
          <w:szCs w:val="18"/>
        </w:rPr>
        <w:t> </w:t>
      </w:r>
      <w:r w:rsidRPr="00081513">
        <w:rPr>
          <w:rFonts w:ascii="Arial" w:hAnsi="Arial" w:cs="Arial"/>
          <w:color w:val="000000" w:themeColor="text1"/>
          <w:sz w:val="18"/>
          <w:szCs w:val="18"/>
        </w:rPr>
        <w:t>41, corresponderán en segunda instancia al Consejo de Estado. Y las competencias sobre jurisdicción coactiva asignadas en segunda instancia a los Jueces Administrativos según el artículo</w:t>
      </w:r>
      <w:r w:rsidRPr="00081513">
        <w:rPr>
          <w:rStyle w:val="apple-converted-space"/>
          <w:rFonts w:ascii="Arial" w:hAnsi="Arial" w:cs="Arial"/>
          <w:color w:val="000000" w:themeColor="text1"/>
          <w:sz w:val="18"/>
          <w:szCs w:val="18"/>
        </w:rPr>
        <w:t> 42, </w:t>
      </w:r>
      <w:r w:rsidRPr="00081513">
        <w:rPr>
          <w:rFonts w:ascii="Arial" w:hAnsi="Arial" w:cs="Arial"/>
          <w:color w:val="000000" w:themeColor="text1"/>
          <w:sz w:val="18"/>
          <w:szCs w:val="18"/>
        </w:rPr>
        <w:t>corresponderán en segunda instancia a los Tribunales Administrativos.</w:t>
      </w:r>
    </w:p>
    <w:p w:rsidR="00081513" w:rsidRPr="00081513" w:rsidRDefault="00081513" w:rsidP="00081513">
      <w:pPr>
        <w:spacing w:before="100" w:beforeAutospacing="1" w:after="100" w:afterAutospacing="1"/>
        <w:jc w:val="both"/>
        <w:rPr>
          <w:color w:val="000000" w:themeColor="text1"/>
        </w:rPr>
      </w:pPr>
      <w:r w:rsidRPr="00081513">
        <w:rPr>
          <w:rFonts w:ascii="Arial" w:hAnsi="Arial" w:cs="Arial"/>
          <w:color w:val="000000" w:themeColor="text1"/>
          <w:sz w:val="18"/>
          <w:szCs w:val="18"/>
        </w:rPr>
        <w:t> </w:t>
      </w:r>
    </w:p>
    <w:p w:rsidR="00081513" w:rsidRPr="00081513" w:rsidRDefault="00081513" w:rsidP="00081513">
      <w:pPr>
        <w:spacing w:before="100" w:beforeAutospacing="1" w:after="100" w:afterAutospacing="1"/>
        <w:jc w:val="both"/>
        <w:rPr>
          <w:color w:val="000000" w:themeColor="text1"/>
        </w:rPr>
      </w:pPr>
      <w:r w:rsidRPr="00081513">
        <w:rPr>
          <w:rFonts w:ascii="Arial" w:hAnsi="Arial" w:cs="Arial"/>
          <w:color w:val="000000" w:themeColor="text1"/>
          <w:sz w:val="18"/>
          <w:szCs w:val="18"/>
        </w:rPr>
        <w:t>El Consejo de Estado asumirá en única y segunda instancia, las competencias asignadas en los artículos 36, 37 y 38.</w:t>
      </w:r>
    </w:p>
    <w:p w:rsidR="00081513" w:rsidRPr="00081513" w:rsidRDefault="00081513" w:rsidP="00081513">
      <w:pPr>
        <w:spacing w:before="100" w:beforeAutospacing="1" w:after="100" w:afterAutospacing="1"/>
        <w:jc w:val="both"/>
        <w:rPr>
          <w:color w:val="000000" w:themeColor="text1"/>
        </w:rPr>
      </w:pPr>
      <w:r w:rsidRPr="00081513">
        <w:rPr>
          <w:rFonts w:ascii="Arial" w:hAnsi="Arial" w:cs="Arial"/>
          <w:color w:val="000000" w:themeColor="text1"/>
          <w:sz w:val="18"/>
          <w:szCs w:val="18"/>
        </w:rPr>
        <w:t> </w:t>
      </w:r>
    </w:p>
    <w:p w:rsidR="00081513" w:rsidRPr="00081513" w:rsidRDefault="00081513" w:rsidP="00081513">
      <w:pPr>
        <w:spacing w:before="100" w:beforeAutospacing="1" w:after="100" w:afterAutospacing="1"/>
        <w:jc w:val="both"/>
        <w:rPr>
          <w:color w:val="000000" w:themeColor="text1"/>
        </w:rPr>
      </w:pPr>
      <w:r w:rsidRPr="00081513">
        <w:rPr>
          <w:rFonts w:ascii="Arial" w:hAnsi="Arial" w:cs="Arial"/>
          <w:color w:val="000000" w:themeColor="text1"/>
          <w:sz w:val="18"/>
          <w:szCs w:val="18"/>
        </w:rPr>
        <w:t>Las competencias por razón del territorio y por razón de la cuantía, previstas en el artículo</w:t>
      </w:r>
      <w:r w:rsidRPr="00081513">
        <w:rPr>
          <w:rStyle w:val="apple-converted-space"/>
          <w:rFonts w:ascii="Arial" w:hAnsi="Arial" w:cs="Arial"/>
          <w:color w:val="000000" w:themeColor="text1"/>
          <w:sz w:val="18"/>
          <w:szCs w:val="18"/>
        </w:rPr>
        <w:t> 43 </w:t>
      </w:r>
      <w:r w:rsidRPr="00081513">
        <w:rPr>
          <w:rFonts w:ascii="Arial" w:hAnsi="Arial" w:cs="Arial"/>
          <w:color w:val="000000" w:themeColor="text1"/>
          <w:sz w:val="18"/>
          <w:szCs w:val="18"/>
        </w:rPr>
        <w:t>de la Ley 446 de 1998, regirán a partir de la vigencia de la presente ley.</w:t>
      </w:r>
    </w:p>
    <w:p w:rsidR="00081513" w:rsidRPr="00081513" w:rsidRDefault="00081513" w:rsidP="00081513">
      <w:pPr>
        <w:pStyle w:val="Textoindependiente3"/>
        <w:spacing w:after="0"/>
        <w:jc w:val="both"/>
        <w:rPr>
          <w:color w:val="000000" w:themeColor="text1"/>
        </w:rPr>
      </w:pPr>
      <w:bookmarkStart w:id="46" w:name="_ftn22"/>
      <w:r w:rsidRPr="00081513">
        <w:rPr>
          <w:rStyle w:val="Refdenotaalpie"/>
          <w:rFonts w:ascii="Arial" w:hAnsi="Arial" w:cs="Arial"/>
          <w:color w:val="000000" w:themeColor="text1"/>
          <w:sz w:val="18"/>
          <w:szCs w:val="18"/>
          <w:u w:val="single"/>
          <w:vertAlign w:val="superscript"/>
          <w:lang w:val="es-ES"/>
        </w:rPr>
        <w:t>[22]</w:t>
      </w:r>
      <w:bookmarkEnd w:id="46"/>
      <w:r w:rsidRPr="00081513">
        <w:rPr>
          <w:rStyle w:val="apple-converted-space"/>
          <w:rFonts w:ascii="Arial" w:hAnsi="Arial" w:cs="Arial"/>
          <w:color w:val="000000" w:themeColor="text1"/>
          <w:sz w:val="18"/>
          <w:szCs w:val="18"/>
          <w:lang w:val="es-ES"/>
        </w:rPr>
        <w:t> </w:t>
      </w:r>
      <w:r w:rsidRPr="00081513">
        <w:rPr>
          <w:rFonts w:ascii="Arial" w:hAnsi="Arial" w:cs="Arial"/>
          <w:color w:val="000000" w:themeColor="text1"/>
          <w:sz w:val="18"/>
          <w:szCs w:val="18"/>
          <w:lang w:val="es-ES"/>
        </w:rPr>
        <w:t>Los</w:t>
      </w:r>
      <w:r w:rsidRPr="00081513">
        <w:rPr>
          <w:rStyle w:val="apple-converted-space"/>
          <w:rFonts w:ascii="Arial" w:hAnsi="Arial" w:cs="Arial"/>
          <w:color w:val="000000" w:themeColor="text1"/>
          <w:sz w:val="18"/>
          <w:szCs w:val="18"/>
          <w:lang w:val="es-ES"/>
        </w:rPr>
        <w:t> </w:t>
      </w:r>
      <w:r w:rsidRPr="00081513">
        <w:rPr>
          <w:rFonts w:ascii="Arial" w:hAnsi="Arial" w:cs="Arial"/>
          <w:color w:val="000000" w:themeColor="text1"/>
          <w:sz w:val="18"/>
          <w:szCs w:val="18"/>
          <w:lang w:val="es-ES"/>
        </w:rPr>
        <w:t>juzgados administrativos entraron a operar el 1° de agosto de 2006, conforme con el Acuerdo 3409 de 2006, expedido por la Sala Administrativa del Consejo Superior de la Judicatura.</w:t>
      </w:r>
    </w:p>
    <w:p w:rsidR="00081513" w:rsidRPr="00081513" w:rsidRDefault="00081513" w:rsidP="00081513">
      <w:pPr>
        <w:pStyle w:val="Textonotapie"/>
        <w:spacing w:before="0" w:beforeAutospacing="0" w:after="0" w:afterAutospacing="0"/>
        <w:jc w:val="both"/>
        <w:rPr>
          <w:color w:val="000000" w:themeColor="text1"/>
          <w:sz w:val="20"/>
          <w:szCs w:val="20"/>
        </w:rPr>
      </w:pPr>
      <w:bookmarkStart w:id="47" w:name="_ftn23"/>
      <w:r w:rsidRPr="00081513">
        <w:rPr>
          <w:rStyle w:val="Refdenotaalpie"/>
          <w:rFonts w:ascii="Arial" w:hAnsi="Arial" w:cs="Arial"/>
          <w:color w:val="000000" w:themeColor="text1"/>
          <w:sz w:val="18"/>
          <w:szCs w:val="18"/>
          <w:u w:val="single"/>
          <w:vertAlign w:val="superscript"/>
          <w:lang w:val="es-ES"/>
        </w:rPr>
        <w:t>[23]</w:t>
      </w:r>
      <w:bookmarkEnd w:id="47"/>
      <w:r w:rsidRPr="00081513">
        <w:rPr>
          <w:rStyle w:val="apple-converted-space"/>
          <w:rFonts w:ascii="Arial" w:hAnsi="Arial" w:cs="Arial"/>
          <w:color w:val="000000" w:themeColor="text1"/>
          <w:sz w:val="18"/>
          <w:szCs w:val="18"/>
          <w:lang w:val="es-ES"/>
        </w:rPr>
        <w:t> </w:t>
      </w:r>
      <w:r w:rsidRPr="00081513">
        <w:rPr>
          <w:rFonts w:ascii="Arial" w:hAnsi="Arial" w:cs="Arial"/>
          <w:color w:val="000000" w:themeColor="text1"/>
          <w:sz w:val="18"/>
          <w:szCs w:val="18"/>
          <w:lang w:val="es-ES"/>
        </w:rPr>
        <w:t>Para</w:t>
      </w:r>
      <w:r w:rsidRPr="00081513">
        <w:rPr>
          <w:rStyle w:val="apple-converted-space"/>
          <w:rFonts w:ascii="Arial" w:hAnsi="Arial" w:cs="Arial"/>
          <w:color w:val="000000" w:themeColor="text1"/>
          <w:sz w:val="18"/>
          <w:szCs w:val="18"/>
          <w:lang w:val="es-ES"/>
        </w:rPr>
        <w:t> </w:t>
      </w:r>
      <w:r w:rsidRPr="00081513">
        <w:rPr>
          <w:rFonts w:ascii="Arial" w:hAnsi="Arial" w:cs="Arial"/>
          <w:color w:val="000000" w:themeColor="text1"/>
          <w:sz w:val="18"/>
          <w:szCs w:val="18"/>
          <w:lang w:val="es-MX"/>
        </w:rPr>
        <w:t>el año 2002, el salario mínimo mensual era de $309.000. Luego, los 300 salarios mínimos correspondían a $92.700.000.</w:t>
      </w:r>
    </w:p>
    <w:bookmarkEnd w:id="0"/>
    <w:p w:rsidR="00771796" w:rsidRPr="00081513" w:rsidRDefault="00771796">
      <w:pPr>
        <w:rPr>
          <w:color w:val="000000" w:themeColor="text1"/>
        </w:rPr>
      </w:pPr>
    </w:p>
    <w:sectPr w:rsidR="00771796" w:rsidRPr="000815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E5"/>
    <w:rsid w:val="00081513"/>
    <w:rsid w:val="001E17E5"/>
    <w:rsid w:val="00771796"/>
    <w:rsid w:val="00A81E38"/>
    <w:rsid w:val="00E872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E17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1E17E5"/>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7">
    <w:name w:val="heading 7"/>
    <w:basedOn w:val="Normal"/>
    <w:next w:val="Normal"/>
    <w:link w:val="Ttulo7Car"/>
    <w:uiPriority w:val="9"/>
    <w:semiHidden/>
    <w:unhideWhenUsed/>
    <w:qFormat/>
    <w:rsid w:val="0008151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81E38"/>
  </w:style>
  <w:style w:type="character" w:customStyle="1" w:styleId="spelle">
    <w:name w:val="spelle"/>
    <w:basedOn w:val="Fuentedeprrafopredeter"/>
    <w:rsid w:val="00A81E38"/>
  </w:style>
  <w:style w:type="paragraph" w:styleId="Prrafodelista">
    <w:name w:val="List Paragraph"/>
    <w:basedOn w:val="Normal"/>
    <w:uiPriority w:val="34"/>
    <w:qFormat/>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A81E38"/>
    <w:rPr>
      <w:color w:val="0000FF"/>
      <w:u w:val="single"/>
    </w:rPr>
  </w:style>
  <w:style w:type="character" w:styleId="Hipervnculovisitado">
    <w:name w:val="FollowedHyperlink"/>
    <w:basedOn w:val="Fuentedeprrafopredeter"/>
    <w:uiPriority w:val="99"/>
    <w:semiHidden/>
    <w:unhideWhenUsed/>
    <w:rsid w:val="00A81E38"/>
    <w:rPr>
      <w:color w:val="800080"/>
      <w:u w:val="single"/>
    </w:rPr>
  </w:style>
  <w:style w:type="character" w:styleId="Refdenotaalpie">
    <w:name w:val="footnote reference"/>
    <w:basedOn w:val="Fuentedeprrafopredeter"/>
    <w:uiPriority w:val="99"/>
    <w:semiHidden/>
    <w:unhideWhenUsed/>
    <w:rsid w:val="00A81E38"/>
  </w:style>
  <w:style w:type="paragraph" w:styleId="Textoindependiente">
    <w:name w:val="Body Text"/>
    <w:basedOn w:val="Normal"/>
    <w:link w:val="TextoindependienteCar"/>
    <w:uiPriority w:val="99"/>
    <w:semiHidden/>
    <w:unhideWhenUsed/>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A81E38"/>
    <w:rPr>
      <w:rFonts w:ascii="Times New Roman" w:eastAsia="Times New Roman" w:hAnsi="Times New Roman" w:cs="Times New Roman"/>
      <w:sz w:val="24"/>
      <w:szCs w:val="24"/>
      <w:lang w:eastAsia="es-CO"/>
    </w:rPr>
  </w:style>
  <w:style w:type="paragraph" w:customStyle="1" w:styleId="textoindependiente31">
    <w:name w:val="textoindependiente31"/>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grame">
    <w:name w:val="grame"/>
    <w:basedOn w:val="Fuentedeprrafopredeter"/>
    <w:rsid w:val="00A81E38"/>
  </w:style>
  <w:style w:type="paragraph" w:styleId="Textoindependiente2">
    <w:name w:val="Body Text 2"/>
    <w:basedOn w:val="Normal"/>
    <w:link w:val="Textoindependiente2Car"/>
    <w:uiPriority w:val="99"/>
    <w:semiHidden/>
    <w:unhideWhenUsed/>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2Car">
    <w:name w:val="Texto independiente 2 Car"/>
    <w:basedOn w:val="Fuentedeprrafopredeter"/>
    <w:link w:val="Textoindependiente2"/>
    <w:uiPriority w:val="99"/>
    <w:semiHidden/>
    <w:rsid w:val="00A81E38"/>
    <w:rPr>
      <w:rFonts w:ascii="Times New Roman" w:eastAsia="Times New Roman" w:hAnsi="Times New Roman" w:cs="Times New Roman"/>
      <w:sz w:val="24"/>
      <w:szCs w:val="24"/>
      <w:lang w:eastAsia="es-CO"/>
    </w:rPr>
  </w:style>
  <w:style w:type="paragraph" w:customStyle="1" w:styleId="subttulos">
    <w:name w:val="subttulos"/>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independiente21">
    <w:name w:val="textoindependiente21"/>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A81E38"/>
    <w:rPr>
      <w:rFonts w:ascii="Times New Roman" w:eastAsia="Times New Roman" w:hAnsi="Times New Roman" w:cs="Times New Roman"/>
      <w:sz w:val="24"/>
      <w:szCs w:val="24"/>
      <w:lang w:eastAsia="es-CO"/>
    </w:rPr>
  </w:style>
  <w:style w:type="paragraph" w:customStyle="1" w:styleId="encabezamiento">
    <w:name w:val="encabezamiento"/>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1E17E5"/>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1E17E5"/>
    <w:rPr>
      <w:rFonts w:ascii="Times New Roman" w:eastAsia="Times New Roman" w:hAnsi="Times New Roman" w:cs="Times New Roman"/>
      <w:b/>
      <w:bCs/>
      <w:sz w:val="36"/>
      <w:szCs w:val="36"/>
      <w:lang w:eastAsia="es-CO"/>
    </w:rPr>
  </w:style>
  <w:style w:type="paragraph" w:styleId="Ttulo">
    <w:name w:val="Title"/>
    <w:basedOn w:val="Normal"/>
    <w:link w:val="TtuloCar"/>
    <w:uiPriority w:val="10"/>
    <w:qFormat/>
    <w:rsid w:val="001E17E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Car">
    <w:name w:val="Título Car"/>
    <w:basedOn w:val="Fuentedeprrafopredeter"/>
    <w:link w:val="Ttulo"/>
    <w:uiPriority w:val="10"/>
    <w:rsid w:val="001E17E5"/>
    <w:rPr>
      <w:rFonts w:ascii="Times New Roman" w:eastAsia="Times New Roman" w:hAnsi="Times New Roman" w:cs="Times New Roman"/>
      <w:sz w:val="24"/>
      <w:szCs w:val="24"/>
      <w:lang w:eastAsia="es-CO"/>
    </w:rPr>
  </w:style>
  <w:style w:type="paragraph" w:customStyle="1" w:styleId="bodytext31">
    <w:name w:val="bodytext31"/>
    <w:basedOn w:val="Normal"/>
    <w:rsid w:val="001E17E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7Car">
    <w:name w:val="Título 7 Car"/>
    <w:basedOn w:val="Fuentedeprrafopredeter"/>
    <w:link w:val="Ttulo7"/>
    <w:uiPriority w:val="9"/>
    <w:semiHidden/>
    <w:rsid w:val="00081513"/>
    <w:rPr>
      <w:rFonts w:asciiTheme="majorHAnsi" w:eastAsiaTheme="majorEastAsia" w:hAnsiTheme="majorHAnsi" w:cstheme="majorBidi"/>
      <w:i/>
      <w:iCs/>
      <w:color w:val="404040" w:themeColor="text1" w:themeTint="BF"/>
    </w:rPr>
  </w:style>
  <w:style w:type="paragraph" w:styleId="Textoindependiente3">
    <w:name w:val="Body Text 3"/>
    <w:basedOn w:val="Normal"/>
    <w:link w:val="Textoindependiente3Car"/>
    <w:uiPriority w:val="99"/>
    <w:semiHidden/>
    <w:unhideWhenUsed/>
    <w:rsid w:val="0008151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81513"/>
    <w:rPr>
      <w:sz w:val="16"/>
      <w:szCs w:val="16"/>
    </w:rPr>
  </w:style>
  <w:style w:type="paragraph" w:customStyle="1" w:styleId="presentacin">
    <w:name w:val="presentacin"/>
    <w:basedOn w:val="Normal"/>
    <w:rsid w:val="0008151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avy">
    <w:name w:val="textonavy"/>
    <w:basedOn w:val="Fuentedeprrafopredeter"/>
    <w:rsid w:val="000815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E17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1E17E5"/>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7">
    <w:name w:val="heading 7"/>
    <w:basedOn w:val="Normal"/>
    <w:next w:val="Normal"/>
    <w:link w:val="Ttulo7Car"/>
    <w:uiPriority w:val="9"/>
    <w:semiHidden/>
    <w:unhideWhenUsed/>
    <w:qFormat/>
    <w:rsid w:val="0008151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81E38"/>
  </w:style>
  <w:style w:type="character" w:customStyle="1" w:styleId="spelle">
    <w:name w:val="spelle"/>
    <w:basedOn w:val="Fuentedeprrafopredeter"/>
    <w:rsid w:val="00A81E38"/>
  </w:style>
  <w:style w:type="paragraph" w:styleId="Prrafodelista">
    <w:name w:val="List Paragraph"/>
    <w:basedOn w:val="Normal"/>
    <w:uiPriority w:val="34"/>
    <w:qFormat/>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A81E38"/>
    <w:rPr>
      <w:color w:val="0000FF"/>
      <w:u w:val="single"/>
    </w:rPr>
  </w:style>
  <w:style w:type="character" w:styleId="Hipervnculovisitado">
    <w:name w:val="FollowedHyperlink"/>
    <w:basedOn w:val="Fuentedeprrafopredeter"/>
    <w:uiPriority w:val="99"/>
    <w:semiHidden/>
    <w:unhideWhenUsed/>
    <w:rsid w:val="00A81E38"/>
    <w:rPr>
      <w:color w:val="800080"/>
      <w:u w:val="single"/>
    </w:rPr>
  </w:style>
  <w:style w:type="character" w:styleId="Refdenotaalpie">
    <w:name w:val="footnote reference"/>
    <w:basedOn w:val="Fuentedeprrafopredeter"/>
    <w:uiPriority w:val="99"/>
    <w:semiHidden/>
    <w:unhideWhenUsed/>
    <w:rsid w:val="00A81E38"/>
  </w:style>
  <w:style w:type="paragraph" w:styleId="Textoindependiente">
    <w:name w:val="Body Text"/>
    <w:basedOn w:val="Normal"/>
    <w:link w:val="TextoindependienteCar"/>
    <w:uiPriority w:val="99"/>
    <w:semiHidden/>
    <w:unhideWhenUsed/>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A81E38"/>
    <w:rPr>
      <w:rFonts w:ascii="Times New Roman" w:eastAsia="Times New Roman" w:hAnsi="Times New Roman" w:cs="Times New Roman"/>
      <w:sz w:val="24"/>
      <w:szCs w:val="24"/>
      <w:lang w:eastAsia="es-CO"/>
    </w:rPr>
  </w:style>
  <w:style w:type="paragraph" w:customStyle="1" w:styleId="textoindependiente31">
    <w:name w:val="textoindependiente31"/>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grame">
    <w:name w:val="grame"/>
    <w:basedOn w:val="Fuentedeprrafopredeter"/>
    <w:rsid w:val="00A81E38"/>
  </w:style>
  <w:style w:type="paragraph" w:styleId="Textoindependiente2">
    <w:name w:val="Body Text 2"/>
    <w:basedOn w:val="Normal"/>
    <w:link w:val="Textoindependiente2Car"/>
    <w:uiPriority w:val="99"/>
    <w:semiHidden/>
    <w:unhideWhenUsed/>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2Car">
    <w:name w:val="Texto independiente 2 Car"/>
    <w:basedOn w:val="Fuentedeprrafopredeter"/>
    <w:link w:val="Textoindependiente2"/>
    <w:uiPriority w:val="99"/>
    <w:semiHidden/>
    <w:rsid w:val="00A81E38"/>
    <w:rPr>
      <w:rFonts w:ascii="Times New Roman" w:eastAsia="Times New Roman" w:hAnsi="Times New Roman" w:cs="Times New Roman"/>
      <w:sz w:val="24"/>
      <w:szCs w:val="24"/>
      <w:lang w:eastAsia="es-CO"/>
    </w:rPr>
  </w:style>
  <w:style w:type="paragraph" w:customStyle="1" w:styleId="subttulos">
    <w:name w:val="subttulos"/>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independiente21">
    <w:name w:val="textoindependiente21"/>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A81E38"/>
    <w:rPr>
      <w:rFonts w:ascii="Times New Roman" w:eastAsia="Times New Roman" w:hAnsi="Times New Roman" w:cs="Times New Roman"/>
      <w:sz w:val="24"/>
      <w:szCs w:val="24"/>
      <w:lang w:eastAsia="es-CO"/>
    </w:rPr>
  </w:style>
  <w:style w:type="paragraph" w:customStyle="1" w:styleId="encabezamiento">
    <w:name w:val="encabezamiento"/>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1E17E5"/>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1E17E5"/>
    <w:rPr>
      <w:rFonts w:ascii="Times New Roman" w:eastAsia="Times New Roman" w:hAnsi="Times New Roman" w:cs="Times New Roman"/>
      <w:b/>
      <w:bCs/>
      <w:sz w:val="36"/>
      <w:szCs w:val="36"/>
      <w:lang w:eastAsia="es-CO"/>
    </w:rPr>
  </w:style>
  <w:style w:type="paragraph" w:styleId="Ttulo">
    <w:name w:val="Title"/>
    <w:basedOn w:val="Normal"/>
    <w:link w:val="TtuloCar"/>
    <w:uiPriority w:val="10"/>
    <w:qFormat/>
    <w:rsid w:val="001E17E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Car">
    <w:name w:val="Título Car"/>
    <w:basedOn w:val="Fuentedeprrafopredeter"/>
    <w:link w:val="Ttulo"/>
    <w:uiPriority w:val="10"/>
    <w:rsid w:val="001E17E5"/>
    <w:rPr>
      <w:rFonts w:ascii="Times New Roman" w:eastAsia="Times New Roman" w:hAnsi="Times New Roman" w:cs="Times New Roman"/>
      <w:sz w:val="24"/>
      <w:szCs w:val="24"/>
      <w:lang w:eastAsia="es-CO"/>
    </w:rPr>
  </w:style>
  <w:style w:type="paragraph" w:customStyle="1" w:styleId="bodytext31">
    <w:name w:val="bodytext31"/>
    <w:basedOn w:val="Normal"/>
    <w:rsid w:val="001E17E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7Car">
    <w:name w:val="Título 7 Car"/>
    <w:basedOn w:val="Fuentedeprrafopredeter"/>
    <w:link w:val="Ttulo7"/>
    <w:uiPriority w:val="9"/>
    <w:semiHidden/>
    <w:rsid w:val="00081513"/>
    <w:rPr>
      <w:rFonts w:asciiTheme="majorHAnsi" w:eastAsiaTheme="majorEastAsia" w:hAnsiTheme="majorHAnsi" w:cstheme="majorBidi"/>
      <w:i/>
      <w:iCs/>
      <w:color w:val="404040" w:themeColor="text1" w:themeTint="BF"/>
    </w:rPr>
  </w:style>
  <w:style w:type="paragraph" w:styleId="Textoindependiente3">
    <w:name w:val="Body Text 3"/>
    <w:basedOn w:val="Normal"/>
    <w:link w:val="Textoindependiente3Car"/>
    <w:uiPriority w:val="99"/>
    <w:semiHidden/>
    <w:unhideWhenUsed/>
    <w:rsid w:val="0008151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81513"/>
    <w:rPr>
      <w:sz w:val="16"/>
      <w:szCs w:val="16"/>
    </w:rPr>
  </w:style>
  <w:style w:type="paragraph" w:customStyle="1" w:styleId="presentacin">
    <w:name w:val="presentacin"/>
    <w:basedOn w:val="Normal"/>
    <w:rsid w:val="0008151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avy">
    <w:name w:val="textonavy"/>
    <w:basedOn w:val="Fuentedeprrafopredeter"/>
    <w:rsid w:val="00081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49961">
      <w:bodyDiv w:val="1"/>
      <w:marLeft w:val="0"/>
      <w:marRight w:val="0"/>
      <w:marTop w:val="0"/>
      <w:marBottom w:val="0"/>
      <w:divBdr>
        <w:top w:val="none" w:sz="0" w:space="0" w:color="auto"/>
        <w:left w:val="none" w:sz="0" w:space="0" w:color="auto"/>
        <w:bottom w:val="none" w:sz="0" w:space="0" w:color="auto"/>
        <w:right w:val="none" w:sz="0" w:space="0" w:color="auto"/>
      </w:divBdr>
      <w:divsChild>
        <w:div w:id="572811809">
          <w:marLeft w:val="0"/>
          <w:marRight w:val="0"/>
          <w:marTop w:val="0"/>
          <w:marBottom w:val="0"/>
          <w:divBdr>
            <w:top w:val="none" w:sz="0" w:space="0" w:color="auto"/>
            <w:left w:val="none" w:sz="0" w:space="0" w:color="auto"/>
            <w:bottom w:val="none" w:sz="0" w:space="0" w:color="auto"/>
            <w:right w:val="none" w:sz="0" w:space="0" w:color="auto"/>
          </w:divBdr>
          <w:divsChild>
            <w:div w:id="1151406939">
              <w:marLeft w:val="0"/>
              <w:marRight w:val="0"/>
              <w:marTop w:val="0"/>
              <w:marBottom w:val="0"/>
              <w:divBdr>
                <w:top w:val="none" w:sz="0" w:space="0" w:color="auto"/>
                <w:left w:val="none" w:sz="0" w:space="0" w:color="auto"/>
                <w:bottom w:val="none" w:sz="0" w:space="0" w:color="auto"/>
                <w:right w:val="none" w:sz="0" w:space="0" w:color="auto"/>
              </w:divBdr>
            </w:div>
            <w:div w:id="538519469">
              <w:marLeft w:val="0"/>
              <w:marRight w:val="0"/>
              <w:marTop w:val="0"/>
              <w:marBottom w:val="0"/>
              <w:divBdr>
                <w:top w:val="none" w:sz="0" w:space="0" w:color="auto"/>
                <w:left w:val="none" w:sz="0" w:space="0" w:color="auto"/>
                <w:bottom w:val="none" w:sz="0" w:space="0" w:color="auto"/>
                <w:right w:val="none" w:sz="0" w:space="0" w:color="auto"/>
              </w:divBdr>
            </w:div>
            <w:div w:id="622807156">
              <w:marLeft w:val="0"/>
              <w:marRight w:val="0"/>
              <w:marTop w:val="0"/>
              <w:marBottom w:val="0"/>
              <w:divBdr>
                <w:top w:val="none" w:sz="0" w:space="0" w:color="auto"/>
                <w:left w:val="none" w:sz="0" w:space="0" w:color="auto"/>
                <w:bottom w:val="none" w:sz="0" w:space="0" w:color="auto"/>
                <w:right w:val="none" w:sz="0" w:space="0" w:color="auto"/>
              </w:divBdr>
            </w:div>
            <w:div w:id="966400418">
              <w:marLeft w:val="0"/>
              <w:marRight w:val="0"/>
              <w:marTop w:val="0"/>
              <w:marBottom w:val="0"/>
              <w:divBdr>
                <w:top w:val="none" w:sz="0" w:space="0" w:color="auto"/>
                <w:left w:val="none" w:sz="0" w:space="0" w:color="auto"/>
                <w:bottom w:val="none" w:sz="0" w:space="0" w:color="auto"/>
                <w:right w:val="none" w:sz="0" w:space="0" w:color="auto"/>
              </w:divBdr>
            </w:div>
            <w:div w:id="1994288282">
              <w:marLeft w:val="0"/>
              <w:marRight w:val="0"/>
              <w:marTop w:val="0"/>
              <w:marBottom w:val="0"/>
              <w:divBdr>
                <w:top w:val="none" w:sz="0" w:space="0" w:color="auto"/>
                <w:left w:val="none" w:sz="0" w:space="0" w:color="auto"/>
                <w:bottom w:val="none" w:sz="0" w:space="0" w:color="auto"/>
                <w:right w:val="none" w:sz="0" w:space="0" w:color="auto"/>
              </w:divBdr>
            </w:div>
            <w:div w:id="1738169534">
              <w:marLeft w:val="0"/>
              <w:marRight w:val="0"/>
              <w:marTop w:val="0"/>
              <w:marBottom w:val="0"/>
              <w:divBdr>
                <w:top w:val="none" w:sz="0" w:space="0" w:color="auto"/>
                <w:left w:val="none" w:sz="0" w:space="0" w:color="auto"/>
                <w:bottom w:val="none" w:sz="0" w:space="0" w:color="auto"/>
                <w:right w:val="none" w:sz="0" w:space="0" w:color="auto"/>
              </w:divBdr>
            </w:div>
            <w:div w:id="1322669">
              <w:marLeft w:val="0"/>
              <w:marRight w:val="0"/>
              <w:marTop w:val="0"/>
              <w:marBottom w:val="0"/>
              <w:divBdr>
                <w:top w:val="none" w:sz="0" w:space="0" w:color="auto"/>
                <w:left w:val="none" w:sz="0" w:space="0" w:color="auto"/>
                <w:bottom w:val="none" w:sz="0" w:space="0" w:color="auto"/>
                <w:right w:val="none" w:sz="0" w:space="0" w:color="auto"/>
              </w:divBdr>
            </w:div>
            <w:div w:id="778379451">
              <w:marLeft w:val="0"/>
              <w:marRight w:val="0"/>
              <w:marTop w:val="0"/>
              <w:marBottom w:val="0"/>
              <w:divBdr>
                <w:top w:val="none" w:sz="0" w:space="0" w:color="auto"/>
                <w:left w:val="none" w:sz="0" w:space="0" w:color="auto"/>
                <w:bottom w:val="none" w:sz="0" w:space="0" w:color="auto"/>
                <w:right w:val="none" w:sz="0" w:space="0" w:color="auto"/>
              </w:divBdr>
            </w:div>
            <w:div w:id="763650168">
              <w:marLeft w:val="0"/>
              <w:marRight w:val="0"/>
              <w:marTop w:val="0"/>
              <w:marBottom w:val="0"/>
              <w:divBdr>
                <w:top w:val="none" w:sz="0" w:space="0" w:color="auto"/>
                <w:left w:val="none" w:sz="0" w:space="0" w:color="auto"/>
                <w:bottom w:val="none" w:sz="0" w:space="0" w:color="auto"/>
                <w:right w:val="none" w:sz="0" w:space="0" w:color="auto"/>
              </w:divBdr>
            </w:div>
            <w:div w:id="298612216">
              <w:marLeft w:val="0"/>
              <w:marRight w:val="0"/>
              <w:marTop w:val="0"/>
              <w:marBottom w:val="0"/>
              <w:divBdr>
                <w:top w:val="none" w:sz="0" w:space="0" w:color="auto"/>
                <w:left w:val="none" w:sz="0" w:space="0" w:color="auto"/>
                <w:bottom w:val="none" w:sz="0" w:space="0" w:color="auto"/>
                <w:right w:val="none" w:sz="0" w:space="0" w:color="auto"/>
              </w:divBdr>
            </w:div>
            <w:div w:id="1236821593">
              <w:marLeft w:val="0"/>
              <w:marRight w:val="0"/>
              <w:marTop w:val="0"/>
              <w:marBottom w:val="0"/>
              <w:divBdr>
                <w:top w:val="none" w:sz="0" w:space="0" w:color="auto"/>
                <w:left w:val="none" w:sz="0" w:space="0" w:color="auto"/>
                <w:bottom w:val="none" w:sz="0" w:space="0" w:color="auto"/>
                <w:right w:val="none" w:sz="0" w:space="0" w:color="auto"/>
              </w:divBdr>
            </w:div>
            <w:div w:id="2064517476">
              <w:marLeft w:val="0"/>
              <w:marRight w:val="0"/>
              <w:marTop w:val="0"/>
              <w:marBottom w:val="0"/>
              <w:divBdr>
                <w:top w:val="none" w:sz="0" w:space="0" w:color="auto"/>
                <w:left w:val="none" w:sz="0" w:space="0" w:color="auto"/>
                <w:bottom w:val="none" w:sz="0" w:space="0" w:color="auto"/>
                <w:right w:val="none" w:sz="0" w:space="0" w:color="auto"/>
              </w:divBdr>
            </w:div>
            <w:div w:id="1498107169">
              <w:marLeft w:val="0"/>
              <w:marRight w:val="0"/>
              <w:marTop w:val="0"/>
              <w:marBottom w:val="0"/>
              <w:divBdr>
                <w:top w:val="none" w:sz="0" w:space="0" w:color="auto"/>
                <w:left w:val="none" w:sz="0" w:space="0" w:color="auto"/>
                <w:bottom w:val="none" w:sz="0" w:space="0" w:color="auto"/>
                <w:right w:val="none" w:sz="0" w:space="0" w:color="auto"/>
              </w:divBdr>
            </w:div>
            <w:div w:id="801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6791">
      <w:bodyDiv w:val="1"/>
      <w:marLeft w:val="0"/>
      <w:marRight w:val="0"/>
      <w:marTop w:val="0"/>
      <w:marBottom w:val="0"/>
      <w:divBdr>
        <w:top w:val="none" w:sz="0" w:space="0" w:color="auto"/>
        <w:left w:val="none" w:sz="0" w:space="0" w:color="auto"/>
        <w:bottom w:val="none" w:sz="0" w:space="0" w:color="auto"/>
        <w:right w:val="none" w:sz="0" w:space="0" w:color="auto"/>
      </w:divBdr>
      <w:divsChild>
        <w:div w:id="1000695193">
          <w:marLeft w:val="0"/>
          <w:marRight w:val="0"/>
          <w:marTop w:val="0"/>
          <w:marBottom w:val="0"/>
          <w:divBdr>
            <w:top w:val="none" w:sz="0" w:space="0" w:color="auto"/>
            <w:left w:val="none" w:sz="0" w:space="0" w:color="auto"/>
            <w:bottom w:val="none" w:sz="0" w:space="0" w:color="auto"/>
            <w:right w:val="none" w:sz="0" w:space="0" w:color="auto"/>
          </w:divBdr>
          <w:divsChild>
            <w:div w:id="1184780535">
              <w:marLeft w:val="0"/>
              <w:marRight w:val="0"/>
              <w:marTop w:val="0"/>
              <w:marBottom w:val="0"/>
              <w:divBdr>
                <w:top w:val="none" w:sz="0" w:space="0" w:color="auto"/>
                <w:left w:val="none" w:sz="0" w:space="0" w:color="auto"/>
                <w:bottom w:val="none" w:sz="0" w:space="0" w:color="auto"/>
                <w:right w:val="none" w:sz="0" w:space="0" w:color="auto"/>
              </w:divBdr>
            </w:div>
            <w:div w:id="1064452301">
              <w:marLeft w:val="0"/>
              <w:marRight w:val="0"/>
              <w:marTop w:val="0"/>
              <w:marBottom w:val="0"/>
              <w:divBdr>
                <w:top w:val="none" w:sz="0" w:space="0" w:color="auto"/>
                <w:left w:val="none" w:sz="0" w:space="0" w:color="auto"/>
                <w:bottom w:val="none" w:sz="0" w:space="0" w:color="auto"/>
                <w:right w:val="none" w:sz="0" w:space="0" w:color="auto"/>
              </w:divBdr>
            </w:div>
            <w:div w:id="312803478">
              <w:marLeft w:val="0"/>
              <w:marRight w:val="0"/>
              <w:marTop w:val="0"/>
              <w:marBottom w:val="0"/>
              <w:divBdr>
                <w:top w:val="none" w:sz="0" w:space="0" w:color="auto"/>
                <w:left w:val="none" w:sz="0" w:space="0" w:color="auto"/>
                <w:bottom w:val="none" w:sz="0" w:space="0" w:color="auto"/>
                <w:right w:val="none" w:sz="0" w:space="0" w:color="auto"/>
              </w:divBdr>
            </w:div>
            <w:div w:id="168640730">
              <w:marLeft w:val="0"/>
              <w:marRight w:val="0"/>
              <w:marTop w:val="0"/>
              <w:marBottom w:val="0"/>
              <w:divBdr>
                <w:top w:val="none" w:sz="0" w:space="0" w:color="auto"/>
                <w:left w:val="none" w:sz="0" w:space="0" w:color="auto"/>
                <w:bottom w:val="none" w:sz="0" w:space="0" w:color="auto"/>
                <w:right w:val="none" w:sz="0" w:space="0" w:color="auto"/>
              </w:divBdr>
            </w:div>
            <w:div w:id="2073773555">
              <w:marLeft w:val="0"/>
              <w:marRight w:val="0"/>
              <w:marTop w:val="0"/>
              <w:marBottom w:val="0"/>
              <w:divBdr>
                <w:top w:val="none" w:sz="0" w:space="0" w:color="auto"/>
                <w:left w:val="none" w:sz="0" w:space="0" w:color="auto"/>
                <w:bottom w:val="none" w:sz="0" w:space="0" w:color="auto"/>
                <w:right w:val="none" w:sz="0" w:space="0" w:color="auto"/>
              </w:divBdr>
            </w:div>
            <w:div w:id="59070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83152">
      <w:bodyDiv w:val="1"/>
      <w:marLeft w:val="0"/>
      <w:marRight w:val="0"/>
      <w:marTop w:val="0"/>
      <w:marBottom w:val="0"/>
      <w:divBdr>
        <w:top w:val="none" w:sz="0" w:space="0" w:color="auto"/>
        <w:left w:val="none" w:sz="0" w:space="0" w:color="auto"/>
        <w:bottom w:val="none" w:sz="0" w:space="0" w:color="auto"/>
        <w:right w:val="none" w:sz="0" w:space="0" w:color="auto"/>
      </w:divBdr>
      <w:divsChild>
        <w:div w:id="1616477024">
          <w:marLeft w:val="0"/>
          <w:marRight w:val="0"/>
          <w:marTop w:val="0"/>
          <w:marBottom w:val="0"/>
          <w:divBdr>
            <w:top w:val="none" w:sz="0" w:space="0" w:color="auto"/>
            <w:left w:val="none" w:sz="0" w:space="0" w:color="auto"/>
            <w:bottom w:val="none" w:sz="0" w:space="0" w:color="auto"/>
            <w:right w:val="none" w:sz="0" w:space="0" w:color="auto"/>
          </w:divBdr>
          <w:divsChild>
            <w:div w:id="820122704">
              <w:marLeft w:val="0"/>
              <w:marRight w:val="0"/>
              <w:marTop w:val="0"/>
              <w:marBottom w:val="0"/>
              <w:divBdr>
                <w:top w:val="none" w:sz="0" w:space="0" w:color="auto"/>
                <w:left w:val="none" w:sz="0" w:space="0" w:color="auto"/>
                <w:bottom w:val="none" w:sz="0" w:space="0" w:color="auto"/>
                <w:right w:val="none" w:sz="0" w:space="0" w:color="auto"/>
              </w:divBdr>
            </w:div>
            <w:div w:id="1141187571">
              <w:marLeft w:val="0"/>
              <w:marRight w:val="0"/>
              <w:marTop w:val="0"/>
              <w:marBottom w:val="0"/>
              <w:divBdr>
                <w:top w:val="none" w:sz="0" w:space="0" w:color="auto"/>
                <w:left w:val="none" w:sz="0" w:space="0" w:color="auto"/>
                <w:bottom w:val="none" w:sz="0" w:space="0" w:color="auto"/>
                <w:right w:val="none" w:sz="0" w:space="0" w:color="auto"/>
              </w:divBdr>
            </w:div>
            <w:div w:id="1078676626">
              <w:marLeft w:val="0"/>
              <w:marRight w:val="0"/>
              <w:marTop w:val="0"/>
              <w:marBottom w:val="0"/>
              <w:divBdr>
                <w:top w:val="none" w:sz="0" w:space="0" w:color="auto"/>
                <w:left w:val="none" w:sz="0" w:space="0" w:color="auto"/>
                <w:bottom w:val="none" w:sz="0" w:space="0" w:color="auto"/>
                <w:right w:val="none" w:sz="0" w:space="0" w:color="auto"/>
              </w:divBdr>
            </w:div>
            <w:div w:id="163327361">
              <w:marLeft w:val="0"/>
              <w:marRight w:val="0"/>
              <w:marTop w:val="0"/>
              <w:marBottom w:val="0"/>
              <w:divBdr>
                <w:top w:val="none" w:sz="0" w:space="0" w:color="auto"/>
                <w:left w:val="none" w:sz="0" w:space="0" w:color="auto"/>
                <w:bottom w:val="none" w:sz="0" w:space="0" w:color="auto"/>
                <w:right w:val="none" w:sz="0" w:space="0" w:color="auto"/>
              </w:divBdr>
            </w:div>
            <w:div w:id="1322344128">
              <w:marLeft w:val="0"/>
              <w:marRight w:val="0"/>
              <w:marTop w:val="0"/>
              <w:marBottom w:val="0"/>
              <w:divBdr>
                <w:top w:val="none" w:sz="0" w:space="0" w:color="auto"/>
                <w:left w:val="none" w:sz="0" w:space="0" w:color="auto"/>
                <w:bottom w:val="none" w:sz="0" w:space="0" w:color="auto"/>
                <w:right w:val="none" w:sz="0" w:space="0" w:color="auto"/>
              </w:divBdr>
            </w:div>
            <w:div w:id="200560215">
              <w:marLeft w:val="0"/>
              <w:marRight w:val="0"/>
              <w:marTop w:val="0"/>
              <w:marBottom w:val="0"/>
              <w:divBdr>
                <w:top w:val="none" w:sz="0" w:space="0" w:color="auto"/>
                <w:left w:val="none" w:sz="0" w:space="0" w:color="auto"/>
                <w:bottom w:val="none" w:sz="0" w:space="0" w:color="auto"/>
                <w:right w:val="none" w:sz="0" w:space="0" w:color="auto"/>
              </w:divBdr>
            </w:div>
            <w:div w:id="2007051726">
              <w:marLeft w:val="0"/>
              <w:marRight w:val="0"/>
              <w:marTop w:val="0"/>
              <w:marBottom w:val="0"/>
              <w:divBdr>
                <w:top w:val="none" w:sz="0" w:space="0" w:color="auto"/>
                <w:left w:val="none" w:sz="0" w:space="0" w:color="auto"/>
                <w:bottom w:val="none" w:sz="0" w:space="0" w:color="auto"/>
                <w:right w:val="none" w:sz="0" w:space="0" w:color="auto"/>
              </w:divBdr>
            </w:div>
            <w:div w:id="1405255027">
              <w:marLeft w:val="0"/>
              <w:marRight w:val="0"/>
              <w:marTop w:val="0"/>
              <w:marBottom w:val="0"/>
              <w:divBdr>
                <w:top w:val="none" w:sz="0" w:space="0" w:color="auto"/>
                <w:left w:val="none" w:sz="0" w:space="0" w:color="auto"/>
                <w:bottom w:val="none" w:sz="0" w:space="0" w:color="auto"/>
                <w:right w:val="none" w:sz="0" w:space="0" w:color="auto"/>
              </w:divBdr>
            </w:div>
            <w:div w:id="1633750880">
              <w:marLeft w:val="0"/>
              <w:marRight w:val="0"/>
              <w:marTop w:val="0"/>
              <w:marBottom w:val="0"/>
              <w:divBdr>
                <w:top w:val="none" w:sz="0" w:space="0" w:color="auto"/>
                <w:left w:val="none" w:sz="0" w:space="0" w:color="auto"/>
                <w:bottom w:val="none" w:sz="0" w:space="0" w:color="auto"/>
                <w:right w:val="none" w:sz="0" w:space="0" w:color="auto"/>
              </w:divBdr>
            </w:div>
            <w:div w:id="1711758917">
              <w:marLeft w:val="0"/>
              <w:marRight w:val="0"/>
              <w:marTop w:val="0"/>
              <w:marBottom w:val="0"/>
              <w:divBdr>
                <w:top w:val="none" w:sz="0" w:space="0" w:color="auto"/>
                <w:left w:val="none" w:sz="0" w:space="0" w:color="auto"/>
                <w:bottom w:val="none" w:sz="0" w:space="0" w:color="auto"/>
                <w:right w:val="none" w:sz="0" w:space="0" w:color="auto"/>
              </w:divBdr>
            </w:div>
            <w:div w:id="523517006">
              <w:marLeft w:val="0"/>
              <w:marRight w:val="0"/>
              <w:marTop w:val="0"/>
              <w:marBottom w:val="0"/>
              <w:divBdr>
                <w:top w:val="none" w:sz="0" w:space="0" w:color="auto"/>
                <w:left w:val="none" w:sz="0" w:space="0" w:color="auto"/>
                <w:bottom w:val="none" w:sz="0" w:space="0" w:color="auto"/>
                <w:right w:val="none" w:sz="0" w:space="0" w:color="auto"/>
              </w:divBdr>
            </w:div>
            <w:div w:id="656959205">
              <w:marLeft w:val="0"/>
              <w:marRight w:val="0"/>
              <w:marTop w:val="0"/>
              <w:marBottom w:val="0"/>
              <w:divBdr>
                <w:top w:val="none" w:sz="0" w:space="0" w:color="auto"/>
                <w:left w:val="none" w:sz="0" w:space="0" w:color="auto"/>
                <w:bottom w:val="none" w:sz="0" w:space="0" w:color="auto"/>
                <w:right w:val="none" w:sz="0" w:space="0" w:color="auto"/>
              </w:divBdr>
            </w:div>
            <w:div w:id="290138389">
              <w:marLeft w:val="0"/>
              <w:marRight w:val="0"/>
              <w:marTop w:val="0"/>
              <w:marBottom w:val="0"/>
              <w:divBdr>
                <w:top w:val="none" w:sz="0" w:space="0" w:color="auto"/>
                <w:left w:val="none" w:sz="0" w:space="0" w:color="auto"/>
                <w:bottom w:val="none" w:sz="0" w:space="0" w:color="auto"/>
                <w:right w:val="none" w:sz="0" w:space="0" w:color="auto"/>
              </w:divBdr>
            </w:div>
            <w:div w:id="651105131">
              <w:marLeft w:val="0"/>
              <w:marRight w:val="0"/>
              <w:marTop w:val="0"/>
              <w:marBottom w:val="0"/>
              <w:divBdr>
                <w:top w:val="none" w:sz="0" w:space="0" w:color="auto"/>
                <w:left w:val="none" w:sz="0" w:space="0" w:color="auto"/>
                <w:bottom w:val="none" w:sz="0" w:space="0" w:color="auto"/>
                <w:right w:val="none" w:sz="0" w:space="0" w:color="auto"/>
              </w:divBdr>
            </w:div>
            <w:div w:id="185143440">
              <w:marLeft w:val="0"/>
              <w:marRight w:val="0"/>
              <w:marTop w:val="0"/>
              <w:marBottom w:val="0"/>
              <w:divBdr>
                <w:top w:val="none" w:sz="0" w:space="0" w:color="auto"/>
                <w:left w:val="none" w:sz="0" w:space="0" w:color="auto"/>
                <w:bottom w:val="none" w:sz="0" w:space="0" w:color="auto"/>
                <w:right w:val="none" w:sz="0" w:space="0" w:color="auto"/>
              </w:divBdr>
            </w:div>
            <w:div w:id="2051999843">
              <w:marLeft w:val="0"/>
              <w:marRight w:val="0"/>
              <w:marTop w:val="0"/>
              <w:marBottom w:val="0"/>
              <w:divBdr>
                <w:top w:val="none" w:sz="0" w:space="0" w:color="auto"/>
                <w:left w:val="none" w:sz="0" w:space="0" w:color="auto"/>
                <w:bottom w:val="none" w:sz="0" w:space="0" w:color="auto"/>
                <w:right w:val="none" w:sz="0" w:space="0" w:color="auto"/>
              </w:divBdr>
            </w:div>
            <w:div w:id="1067262843">
              <w:marLeft w:val="0"/>
              <w:marRight w:val="0"/>
              <w:marTop w:val="0"/>
              <w:marBottom w:val="0"/>
              <w:divBdr>
                <w:top w:val="none" w:sz="0" w:space="0" w:color="auto"/>
                <w:left w:val="none" w:sz="0" w:space="0" w:color="auto"/>
                <w:bottom w:val="none" w:sz="0" w:space="0" w:color="auto"/>
                <w:right w:val="none" w:sz="0" w:space="0" w:color="auto"/>
              </w:divBdr>
            </w:div>
            <w:div w:id="695355378">
              <w:marLeft w:val="0"/>
              <w:marRight w:val="0"/>
              <w:marTop w:val="0"/>
              <w:marBottom w:val="0"/>
              <w:divBdr>
                <w:top w:val="none" w:sz="0" w:space="0" w:color="auto"/>
                <w:left w:val="none" w:sz="0" w:space="0" w:color="auto"/>
                <w:bottom w:val="none" w:sz="0" w:space="0" w:color="auto"/>
                <w:right w:val="none" w:sz="0" w:space="0" w:color="auto"/>
              </w:divBdr>
            </w:div>
            <w:div w:id="1010182654">
              <w:marLeft w:val="0"/>
              <w:marRight w:val="0"/>
              <w:marTop w:val="0"/>
              <w:marBottom w:val="0"/>
              <w:divBdr>
                <w:top w:val="none" w:sz="0" w:space="0" w:color="auto"/>
                <w:left w:val="none" w:sz="0" w:space="0" w:color="auto"/>
                <w:bottom w:val="none" w:sz="0" w:space="0" w:color="auto"/>
                <w:right w:val="none" w:sz="0" w:space="0" w:color="auto"/>
              </w:divBdr>
            </w:div>
            <w:div w:id="299309390">
              <w:marLeft w:val="0"/>
              <w:marRight w:val="0"/>
              <w:marTop w:val="0"/>
              <w:marBottom w:val="0"/>
              <w:divBdr>
                <w:top w:val="none" w:sz="0" w:space="0" w:color="auto"/>
                <w:left w:val="none" w:sz="0" w:space="0" w:color="auto"/>
                <w:bottom w:val="none" w:sz="0" w:space="0" w:color="auto"/>
                <w:right w:val="none" w:sz="0" w:space="0" w:color="auto"/>
              </w:divBdr>
            </w:div>
            <w:div w:id="1646160806">
              <w:marLeft w:val="0"/>
              <w:marRight w:val="0"/>
              <w:marTop w:val="0"/>
              <w:marBottom w:val="0"/>
              <w:divBdr>
                <w:top w:val="none" w:sz="0" w:space="0" w:color="auto"/>
                <w:left w:val="none" w:sz="0" w:space="0" w:color="auto"/>
                <w:bottom w:val="none" w:sz="0" w:space="0" w:color="auto"/>
                <w:right w:val="none" w:sz="0" w:space="0" w:color="auto"/>
              </w:divBdr>
            </w:div>
            <w:div w:id="1831826874">
              <w:marLeft w:val="0"/>
              <w:marRight w:val="0"/>
              <w:marTop w:val="0"/>
              <w:marBottom w:val="0"/>
              <w:divBdr>
                <w:top w:val="none" w:sz="0" w:space="0" w:color="auto"/>
                <w:left w:val="none" w:sz="0" w:space="0" w:color="auto"/>
                <w:bottom w:val="none" w:sz="0" w:space="0" w:color="auto"/>
                <w:right w:val="none" w:sz="0" w:space="0" w:color="auto"/>
              </w:divBdr>
            </w:div>
            <w:div w:id="3185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2404</Words>
  <Characters>13222</Characters>
  <Application>Microsoft Office Word</Application>
  <DocSecurity>0</DocSecurity>
  <Lines>110</Lines>
  <Paragraphs>31</Paragraphs>
  <ScaleCrop>false</ScaleCrop>
  <Company/>
  <LinksUpToDate>false</LinksUpToDate>
  <CharactersWithSpaces>15595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2016-10-05T19:01:00Z</dcterms:created>
  <dcterms:modified xsi:type="dcterms:W3CDTF">2016-10-07T14:41:00Z</dcterms:modified>
</cp:coreProperties>
</file>